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żywotnik szt. 1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1,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32DC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Default="00D32D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Pr="00FC292D" w:rsidRDefault="00D32DC8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z rodzajów: Żywotnik szt. 2, Świerk szt. 3, Dereń szt.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Modrzew szt. 3, Śliwa szt. 5, Jabłoń szt. 6, Wiśnia szt. 4, Lipa szt. 12, Brzoza szt. 2, Klon szt.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Dąb szt. 2,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577">
              <w:rPr>
                <w:rFonts w:ascii="Arial" w:hAnsi="Arial" w:cs="Arial"/>
                <w:sz w:val="22"/>
                <w:szCs w:val="22"/>
              </w:rPr>
              <w:t>, Orzech szt. 1 oraz krzew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z rodzaju Dereń o powierzchni ok. 37,5m</w:t>
            </w:r>
            <w:r w:rsidRPr="006C25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C2577">
              <w:rPr>
                <w:rFonts w:ascii="Arial" w:hAnsi="Arial" w:cs="Arial"/>
                <w:sz w:val="22"/>
                <w:szCs w:val="22"/>
              </w:rPr>
              <w:t xml:space="preserve">ZSE im. Mikołaja Kopernika ul. Powstańców Warszawy 11      </w:t>
            </w:r>
            <w:r w:rsidRPr="006C2577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 z rodzaju Świerk  szt. 5, z nieruchomości przy  ul. Jaworowej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BD508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2, Brzoza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Młodzawy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Decyzja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zezwalająca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usunięcie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drzew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rodzaju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Świerk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2,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nieruchomości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Skarżysku-Kamiennej</w:t>
            </w:r>
            <w:proofErr w:type="spellEnd"/>
          </w:p>
          <w:p w:rsidR="00E77AF2" w:rsidRPr="00FC292D" w:rsidRDefault="00E77AF2" w:rsidP="00BD5084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pStyle w:val="NormalnyWeb"/>
              <w:spacing w:after="0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Zespół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Szkół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Transportowo-Mechatronicznych</w:t>
            </w:r>
            <w:proofErr w:type="spellEnd"/>
            <w:r>
              <w:rPr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Legionów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119</w:t>
            </w:r>
            <w:r>
              <w:rPr>
                <w:lang w:val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26-110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Skarżysko-Kamienna</w:t>
            </w:r>
            <w:proofErr w:type="spellEnd"/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AF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Default="00E77AF2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7AF2" w:rsidRPr="00FC292D" w:rsidRDefault="00E77AF2" w:rsidP="00E77AF2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Wierzba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Cichej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Miejskie Przedsiębiorstwo Wodociągów i Kanalizacji 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Sp. z o. o.</w:t>
            </w:r>
          </w:p>
          <w:p w:rsidR="00E77AF2" w:rsidRDefault="00E77AF2" w:rsidP="00E77AF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Cicha 8, 26-110 Skarżysko-Kamienna</w:t>
            </w:r>
          </w:p>
          <w:p w:rsidR="00E77AF2" w:rsidRDefault="00E77AF2" w:rsidP="00054B3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11A7B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7552F7"/>
    <w:rsid w:val="00760EA6"/>
    <w:rsid w:val="007614ED"/>
    <w:rsid w:val="00773597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C1FBD"/>
    <w:rsid w:val="00BC2180"/>
    <w:rsid w:val="00BD4925"/>
    <w:rsid w:val="00BD5084"/>
    <w:rsid w:val="00C11697"/>
    <w:rsid w:val="00C25D4D"/>
    <w:rsid w:val="00C2761F"/>
    <w:rsid w:val="00C4557F"/>
    <w:rsid w:val="00C63BC5"/>
    <w:rsid w:val="00C76BE7"/>
    <w:rsid w:val="00C87228"/>
    <w:rsid w:val="00C915F6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110</cp:revision>
  <dcterms:created xsi:type="dcterms:W3CDTF">2017-10-27T10:29:00Z</dcterms:created>
  <dcterms:modified xsi:type="dcterms:W3CDTF">2019-08-28T07:50:00Z</dcterms:modified>
</cp:coreProperties>
</file>