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53" w:rsidRPr="000419D8" w:rsidRDefault="00C03753" w:rsidP="00093977">
      <w:pPr>
        <w:autoSpaceDE w:val="0"/>
        <w:autoSpaceDN w:val="0"/>
        <w:adjustRightInd w:val="0"/>
        <w:ind w:left="705" w:hanging="705"/>
        <w:jc w:val="right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b/>
          <w:color w:val="000000"/>
          <w:sz w:val="22"/>
          <w:szCs w:val="22"/>
        </w:rPr>
        <w:t>Zał. 6 Istotne post. umowy</w:t>
      </w:r>
    </w:p>
    <w:p w:rsidR="00844CB6" w:rsidRPr="000419D8" w:rsidRDefault="00844CB6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:rsidR="00C03753" w:rsidRPr="000419D8" w:rsidRDefault="00C03753" w:rsidP="00093977">
      <w:pPr>
        <w:autoSpaceDE w:val="0"/>
        <w:autoSpaceDN w:val="0"/>
        <w:adjustRightInd w:val="0"/>
        <w:ind w:left="705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:rsidR="00C03753" w:rsidRPr="000419D8" w:rsidRDefault="00C03753" w:rsidP="00093977">
      <w:pPr>
        <w:autoSpaceDE w:val="0"/>
        <w:autoSpaceDN w:val="0"/>
        <w:adjustRightInd w:val="0"/>
        <w:ind w:left="705" w:hanging="705"/>
        <w:jc w:val="right"/>
        <w:rPr>
          <w:rFonts w:ascii="Times New Roman" w:eastAsia="Calibri" w:hAnsi="Times New Roman"/>
          <w:color w:val="000000"/>
          <w:sz w:val="22"/>
          <w:szCs w:val="22"/>
        </w:rPr>
      </w:pPr>
    </w:p>
    <w:p w:rsidR="00C03753" w:rsidRPr="000419D8" w:rsidRDefault="00C03753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6C077C" w:rsidRPr="000419D8" w:rsidRDefault="006C077C" w:rsidP="00093977">
      <w:pPr>
        <w:autoSpaceDE w:val="0"/>
        <w:autoSpaceDN w:val="0"/>
        <w:adjustRightInd w:val="0"/>
        <w:ind w:left="705" w:hanging="705"/>
        <w:jc w:val="center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:rsidR="002F2218" w:rsidRPr="000419D8" w:rsidRDefault="001575E9" w:rsidP="002F221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Szczegółowy opis przedmiotu zamówienia jest załącznikiem do SIWZ. W umowach zawartych między Wykonawcą a Zamawiającym i Posiadaczami rachunków zostaną uwzględnione </w:t>
      </w:r>
      <w:r w:rsidR="00BF62F7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wszystkie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warunki określone w SIWZ.</w:t>
      </w:r>
    </w:p>
    <w:p w:rsidR="002F2218" w:rsidRPr="000419D8" w:rsidRDefault="002F2218" w:rsidP="002F2218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D52A06" w:rsidRPr="000419D8" w:rsidRDefault="00F06B60" w:rsidP="00F06B6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Wykonawca </w:t>
      </w:r>
      <w:r w:rsidRPr="000419D8">
        <w:rPr>
          <w:rFonts w:ascii="Times New Roman" w:hAnsi="Times New Roman"/>
          <w:color w:val="000000" w:themeColor="text1"/>
          <w:sz w:val="22"/>
          <w:szCs w:val="22"/>
        </w:rPr>
        <w:t>w terminie do 7 dni roboczych od dnia rozstrzygnięcia przedmiotowego postępowania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dostarczy Zamawiającemu projekt</w:t>
      </w:r>
      <w:r w:rsidR="002F2218" w:rsidRPr="000419D8">
        <w:rPr>
          <w:rFonts w:ascii="Times New Roman" w:hAnsi="Times New Roman"/>
          <w:color w:val="000000" w:themeColor="text1"/>
          <w:sz w:val="22"/>
          <w:szCs w:val="22"/>
        </w:rPr>
        <w:t>y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umów </w:t>
      </w:r>
      <w:r w:rsidR="00AE0481" w:rsidRPr="000419D8">
        <w:rPr>
          <w:rFonts w:ascii="Times New Roman" w:hAnsi="Times New Roman"/>
          <w:color w:val="000000" w:themeColor="text1"/>
          <w:sz w:val="22"/>
          <w:szCs w:val="22"/>
        </w:rPr>
        <w:t>dla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Gmin</w:t>
      </w:r>
      <w:r w:rsidR="00AE048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y i projekt umowy dla 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jednost</w:t>
      </w:r>
      <w:r w:rsidR="00AE0481" w:rsidRPr="000419D8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>k</w:t>
      </w:r>
      <w:r w:rsidR="00AE048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(Posiadaczy rachunków)</w:t>
      </w:r>
      <w:r w:rsidR="00D52A06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>uwzględnia</w:t>
      </w:r>
      <w:r w:rsidR="00D52A06" w:rsidRPr="000419D8">
        <w:rPr>
          <w:rFonts w:ascii="Times New Roman" w:hAnsi="Times New Roman"/>
          <w:color w:val="000000" w:themeColor="text1"/>
          <w:sz w:val="22"/>
          <w:szCs w:val="22"/>
        </w:rPr>
        <w:t>jące</w:t>
      </w:r>
      <w:r w:rsidR="00737301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wszystkie warunki określone w </w:t>
      </w:r>
      <w:r w:rsidR="002F2218" w:rsidRPr="000419D8">
        <w:rPr>
          <w:rFonts w:ascii="Times New Roman" w:hAnsi="Times New Roman"/>
          <w:color w:val="000000" w:themeColor="text1"/>
          <w:sz w:val="22"/>
          <w:szCs w:val="22"/>
        </w:rPr>
        <w:t>SIWZ</w:t>
      </w:r>
      <w:r w:rsidR="00D52A06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wraz z załącznikami. </w:t>
      </w:r>
      <w:r w:rsidR="002F2218" w:rsidRPr="000419D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7866A4" w:rsidRPr="000419D8" w:rsidRDefault="007866A4" w:rsidP="00D52A06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Proponowane zapisy um</w:t>
      </w:r>
      <w:r w:rsidR="001575E9" w:rsidRPr="000419D8">
        <w:rPr>
          <w:rFonts w:ascii="Times New Roman" w:eastAsiaTheme="minorHAnsi" w:hAnsi="Times New Roman"/>
          <w:sz w:val="22"/>
          <w:szCs w:val="22"/>
          <w:lang w:eastAsia="en-US"/>
        </w:rPr>
        <w:t>ów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nie mogą być sprzeczne</w:t>
      </w:r>
      <w:r w:rsidR="002F2218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z przepisami właściwymi dla jednostek samorządu terytorialnego, w szczególności z ustawą o finansach publicznych</w:t>
      </w:r>
      <w:r w:rsidR="00CE1FC9" w:rsidRPr="000419D8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="00BE6DF9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ustawą Prawo zamówień publicznych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a także z zapisami SIWZ.</w:t>
      </w:r>
    </w:p>
    <w:p w:rsidR="005223E1" w:rsidRPr="000419D8" w:rsidRDefault="005223E1" w:rsidP="00093977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2E2140" w:rsidRPr="000419D8" w:rsidRDefault="00CE1FC9" w:rsidP="0009397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>Wykonawca</w:t>
      </w:r>
      <w:r w:rsidR="002E2140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zawrze umowy na prowadzenie obsługi bankowej na warunkach określonych </w:t>
      </w:r>
      <w:r w:rsidR="00B92C0D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                      </w:t>
      </w:r>
      <w:r w:rsidR="002E2140" w:rsidRPr="000419D8">
        <w:rPr>
          <w:rFonts w:ascii="Times New Roman" w:eastAsia="Calibri" w:hAnsi="Times New Roman"/>
          <w:color w:val="000000"/>
          <w:sz w:val="22"/>
          <w:szCs w:val="22"/>
        </w:rPr>
        <w:t>w złożonej ofercie</w:t>
      </w:r>
      <w:r w:rsidR="00B92C0D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z Gminą Skarżysko-Kamienna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(Zamawiającym) </w:t>
      </w:r>
      <w:r w:rsidR="00B92C0D" w:rsidRPr="000419D8">
        <w:rPr>
          <w:rFonts w:ascii="Times New Roman" w:eastAsia="Calibri" w:hAnsi="Times New Roman"/>
          <w:color w:val="000000"/>
          <w:sz w:val="22"/>
          <w:szCs w:val="22"/>
        </w:rPr>
        <w:t>oraz</w:t>
      </w:r>
      <w:r w:rsidR="002E2140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ze wszystkimi jednostkami organizacyjnymi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>(Posiadaczami rachunków).</w:t>
      </w:r>
    </w:p>
    <w:p w:rsidR="002E2140" w:rsidRPr="000419D8" w:rsidRDefault="002E2140" w:rsidP="00093977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2E2140" w:rsidRPr="000419D8" w:rsidRDefault="002E2140" w:rsidP="0009397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Każda z jednostek organizacyjnych </w:t>
      </w:r>
      <w:r w:rsidR="002D5DB2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Gminy (Posiadaczy rachunków)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>indywidualnie podpisze umowę na prowadzenie rachunków bankowych na zasadach wynikających z niniejszego postępowania. W przypadku łączenia, przekształcenia jednostki organizacyjnej Zamawiającego</w:t>
      </w:r>
      <w:r w:rsidR="00CC2F2D" w:rsidRPr="000419D8">
        <w:rPr>
          <w:rFonts w:ascii="Times New Roman" w:eastAsia="Calibri" w:hAnsi="Times New Roman"/>
          <w:color w:val="000000"/>
          <w:sz w:val="22"/>
          <w:szCs w:val="22"/>
        </w:rPr>
        <w:t>,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powołania nowych jednostek organizacyjnych</w:t>
      </w:r>
      <w:r w:rsidR="00CC2F2D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lub potrzeby otwarcia nowych rachunków bankow</w:t>
      </w:r>
      <w:r w:rsidR="002D5DB2" w:rsidRPr="000419D8">
        <w:rPr>
          <w:rFonts w:ascii="Times New Roman" w:eastAsia="Calibri" w:hAnsi="Times New Roman"/>
          <w:color w:val="000000"/>
          <w:sz w:val="22"/>
          <w:szCs w:val="22"/>
        </w:rPr>
        <w:t>ych na rzecz funkcjonujących jednostek organizacyjnych,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Wykonawca zobowiązany jest do realizacji przedmiotowej usługi na warunkach zadeklarowanych 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br/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 ofercie. </w:t>
      </w:r>
    </w:p>
    <w:p w:rsidR="002E2140" w:rsidRPr="000419D8" w:rsidRDefault="002E2140" w:rsidP="00093977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2E2140" w:rsidRPr="000419D8" w:rsidRDefault="002E2140" w:rsidP="0009397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Wykonawca w ramach złożonej oferty jest zobowiązany do zapewnienia kompleksowej obsługi elektronicznej w standardzie zapewniającym pełne bezpieczeństwo, zgodnie 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br/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>z przepisami prawa w zakresie obsługi finansowej.</w:t>
      </w:r>
    </w:p>
    <w:p w:rsidR="00063852" w:rsidRPr="000419D8" w:rsidRDefault="00063852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BF62F7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Wykonawca nadając swoje numery umów winien zawrzeć informację, iż umowa została zarejestrowana w rejestrze zamówień publicznych pod 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określonym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>numerem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:rsidR="0043743F" w:rsidRPr="000419D8" w:rsidRDefault="0043743F" w:rsidP="0043743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FB411E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>Obsługa bankowa budżetu G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miny Skarżyska-Kamiennej oraz gminnych jednostek organizacyjnych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będzie prowadzona </w:t>
      </w:r>
      <w:r w:rsidR="00B76F64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 okresie od 01.01.2018 r. do 31.12.2021 r. na zasadach określonych w SIWZ i ofercie banku, które stanowią integralną część umowy. </w:t>
      </w:r>
    </w:p>
    <w:p w:rsidR="0043743F" w:rsidRPr="000419D8" w:rsidRDefault="0043743F" w:rsidP="0043743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003EB5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>Umowa zawarta</w:t>
      </w:r>
      <w:r w:rsidR="00FB411E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jest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w</w:t>
      </w:r>
      <w:r w:rsidR="009210E5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rezultacie dokonania </w:t>
      </w:r>
      <w:r w:rsidR="00063852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przez Zamawiającego </w:t>
      </w:r>
      <w:r w:rsidR="009210E5" w:rsidRPr="000419D8">
        <w:rPr>
          <w:rFonts w:ascii="Times New Roman" w:eastAsia="Calibri" w:hAnsi="Times New Roman"/>
          <w:color w:val="000000"/>
          <w:sz w:val="22"/>
          <w:szCs w:val="22"/>
        </w:rPr>
        <w:t>wyboru oferty Wykonawcy</w:t>
      </w:r>
      <w:r w:rsidR="00063852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jako najkorzystniejszej</w:t>
      </w:r>
      <w:r w:rsidR="009210E5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w drodze postępowania o udzielenie zamówienia publicznego w trybie przetargu nieograniczonego, na podstawie ustawy z dnia</w:t>
      </w:r>
      <w:r w:rsidR="00063852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="009210E5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29 stycznia 2004 r. Prawo zamówień publicznych (Dz. U. z 2017 r., poz. 1579) 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CB2252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Wykonawc</w:t>
      </w:r>
      <w:r w:rsidR="0024186E" w:rsidRPr="000419D8">
        <w:rPr>
          <w:rFonts w:ascii="Times New Roman" w:eastAsiaTheme="minorHAnsi" w:hAnsi="Times New Roman"/>
          <w:sz w:val="22"/>
          <w:szCs w:val="22"/>
          <w:lang w:eastAsia="en-US"/>
        </w:rPr>
        <w:t>a ponosi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pełn</w:t>
      </w:r>
      <w:r w:rsidR="0024186E" w:rsidRPr="000419D8">
        <w:rPr>
          <w:rFonts w:ascii="Times New Roman" w:eastAsiaTheme="minorHAnsi" w:hAnsi="Times New Roman"/>
          <w:sz w:val="22"/>
          <w:szCs w:val="22"/>
          <w:lang w:eastAsia="en-US"/>
        </w:rPr>
        <w:t>ą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odpowiedzialnoś</w:t>
      </w:r>
      <w:r w:rsidR="0024186E" w:rsidRPr="000419D8">
        <w:rPr>
          <w:rFonts w:ascii="Times New Roman" w:eastAsiaTheme="minorHAnsi" w:hAnsi="Times New Roman"/>
          <w:sz w:val="22"/>
          <w:szCs w:val="22"/>
          <w:lang w:eastAsia="en-US"/>
        </w:rPr>
        <w:t>ć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za przechowywane środki pieniężne Zamawiającego i Posiadaczy rachunków.</w:t>
      </w:r>
    </w:p>
    <w:p w:rsidR="0043743F" w:rsidRPr="000419D8" w:rsidRDefault="0043743F" w:rsidP="0043743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9004FF" w:rsidRPr="000419D8" w:rsidRDefault="009004FF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Wykonawca z tytułu prowadzenia obsługi bankowej będzie pobierał </w:t>
      </w:r>
      <w:r w:rsidR="000419D8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(z rachunku wydatków Urzędu Miasta) 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miesięczną opłatę ryczałtową uwzględniającą całość zamówienia oraz wszystkie koszty jakie Wykonawca poniesie w związku z realizacją przedmiotu zamówienia za wyjątkiem </w:t>
      </w:r>
      <w:r w:rsidR="000419D8" w:rsidRPr="000419D8">
        <w:rPr>
          <w:rFonts w:ascii="Times New Roman" w:eastAsia="Calibri" w:hAnsi="Times New Roman"/>
          <w:color w:val="000000"/>
          <w:sz w:val="22"/>
          <w:szCs w:val="22"/>
        </w:rPr>
        <w:t>odsetek od kredytu w rachunku bieżącym. Wysokość miesięcznej opłaty ryczałtowej będzie stała przez cały okres obowiązywania umowy.</w:t>
      </w:r>
    </w:p>
    <w:p w:rsidR="009004FF" w:rsidRPr="000419D8" w:rsidRDefault="009004FF" w:rsidP="009004F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836531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lastRenderedPageBreak/>
        <w:t xml:space="preserve">Postanowienia obowiązujących w banku regulaminów, tabel i innych wewnętrznych dokumentów mają zastosowanie do niniejszej umowy tylko w przypadku gdy nie są </w:t>
      </w:r>
      <w:r w:rsidRPr="000419D8">
        <w:rPr>
          <w:rFonts w:ascii="Times New Roman" w:hAnsi="Times New Roman"/>
          <w:sz w:val="22"/>
          <w:szCs w:val="22"/>
        </w:rPr>
        <w:t xml:space="preserve">sprzeczne z jej postanowieniami lub umowa nie precyzuje ich w sposób szczególny. W przypadku sprzeczności wewnętrznych uregulowań banku </w:t>
      </w:r>
      <w:r w:rsidR="007358A0" w:rsidRPr="000419D8">
        <w:rPr>
          <w:rFonts w:ascii="Times New Roman" w:hAnsi="Times New Roman"/>
          <w:sz w:val="22"/>
          <w:szCs w:val="22"/>
        </w:rPr>
        <w:t xml:space="preserve">Wykonawcy </w:t>
      </w:r>
      <w:r w:rsidRPr="000419D8">
        <w:rPr>
          <w:rFonts w:ascii="Times New Roman" w:hAnsi="Times New Roman"/>
          <w:sz w:val="22"/>
          <w:szCs w:val="22"/>
        </w:rPr>
        <w:t>z treścią umowy postanowienia zawarte w tych dokumentach uważa się za nieobowiązujące.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836531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Możliwoś</w:t>
      </w:r>
      <w:r w:rsidR="00CB2252" w:rsidRPr="000419D8">
        <w:rPr>
          <w:rFonts w:ascii="Times New Roman" w:eastAsiaTheme="minorHAnsi" w:hAnsi="Times New Roman"/>
          <w:sz w:val="22"/>
          <w:szCs w:val="22"/>
          <w:lang w:eastAsia="en-US"/>
        </w:rPr>
        <w:t>ć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zmiany ilości użytkowników do obs</w:t>
      </w:r>
      <w:r w:rsidR="00521E01" w:rsidRPr="000419D8">
        <w:rPr>
          <w:rFonts w:ascii="Times New Roman" w:eastAsiaTheme="minorHAnsi" w:hAnsi="Times New Roman"/>
          <w:sz w:val="22"/>
          <w:szCs w:val="22"/>
          <w:lang w:eastAsia="en-US"/>
        </w:rPr>
        <w:t>ługi elektronicznej bankowości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, która nie spowoduje zmiany warunków i opłat za usługi elektronicznej bankowości określonych </w:t>
      </w:r>
      <w:r w:rsidR="0024186E" w:rsidRPr="000419D8">
        <w:rPr>
          <w:rFonts w:ascii="Times New Roman" w:eastAsiaTheme="minorHAnsi" w:hAnsi="Times New Roman"/>
          <w:sz w:val="22"/>
          <w:szCs w:val="22"/>
          <w:lang w:eastAsia="en-US"/>
        </w:rPr>
        <w:br/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 ofercie Wykonawcy.</w:t>
      </w:r>
      <w:r w:rsidR="00521E01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2D52BC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Odpowiedzialnoś</w:t>
      </w:r>
      <w:r w:rsidR="00CB2252" w:rsidRPr="000419D8">
        <w:rPr>
          <w:rFonts w:ascii="Times New Roman" w:eastAsiaTheme="minorHAnsi" w:hAnsi="Times New Roman"/>
          <w:sz w:val="22"/>
          <w:szCs w:val="22"/>
          <w:lang w:eastAsia="en-US"/>
        </w:rPr>
        <w:t>ć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Wykonawcy za 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>opóźnie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nia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w realizacji prawidłowych zleceń płatniczych, czy dyspozycji Zamawiającego lub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P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>osiadaczy rachunków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. 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przypadku zaistnienia sytuacji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w efekcie których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Zamawiając</w:t>
      </w:r>
      <w:r w:rsidR="0031784F" w:rsidRPr="000419D8">
        <w:rPr>
          <w:rFonts w:ascii="Times New Roman" w:eastAsiaTheme="minorHAnsi" w:hAnsi="Times New Roman"/>
          <w:sz w:val="22"/>
          <w:szCs w:val="22"/>
          <w:lang w:eastAsia="en-US"/>
        </w:rPr>
        <w:t>y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lub Posiadacze rachunków 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>zobowiązan</w:t>
      </w:r>
      <w:r w:rsidR="0031784F" w:rsidRPr="000419D8">
        <w:rPr>
          <w:rFonts w:ascii="Times New Roman" w:eastAsiaTheme="minorHAnsi" w:hAnsi="Times New Roman"/>
          <w:sz w:val="22"/>
          <w:szCs w:val="22"/>
          <w:lang w:eastAsia="en-US"/>
        </w:rPr>
        <w:t>i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byłyby do zapłaty jakichkolwiek kosztów bądź nałożone byłyby na ni</w:t>
      </w:r>
      <w:r w:rsidR="0031784F" w:rsidRPr="000419D8">
        <w:rPr>
          <w:rFonts w:ascii="Times New Roman" w:eastAsiaTheme="minorHAnsi" w:hAnsi="Times New Roman"/>
          <w:sz w:val="22"/>
          <w:szCs w:val="22"/>
          <w:lang w:eastAsia="en-US"/>
        </w:rPr>
        <w:t>ch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jakiekolwiek inne obciążenia – zostaną one pokryte przez Wykonawcę. Niezależnie od tego, Wykonawca za każdy dzień opóźnienia w realizacji prawidłowych zleceń płatniczych, czy dyspozyc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ji Zamawiającego lub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P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osiadaczy 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>rachunków wypłaci od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setki ustawowe od kwot zlecenia </w:t>
      </w:r>
      <w:r w:rsidR="007B38FC" w:rsidRPr="000419D8">
        <w:rPr>
          <w:rFonts w:ascii="Times New Roman" w:eastAsiaTheme="minorHAnsi" w:hAnsi="Times New Roman"/>
          <w:sz w:val="22"/>
          <w:szCs w:val="22"/>
          <w:lang w:eastAsia="en-US"/>
        </w:rPr>
        <w:t>(dyspozycji).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CB2252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przypadku awarii systemu </w:t>
      </w:r>
      <w:r w:rsidRPr="000419D8">
        <w:rPr>
          <w:rFonts w:ascii="Times New Roman" w:eastAsiaTheme="minorHAnsi" w:hAnsi="Times New Roman"/>
          <w:bCs/>
          <w:sz w:val="22"/>
          <w:szCs w:val="22"/>
          <w:lang w:eastAsia="en-US"/>
        </w:rPr>
        <w:t>b</w:t>
      </w:r>
      <w:r w:rsidR="00C70AB7" w:rsidRPr="000419D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ankowości </w:t>
      </w:r>
      <w:r w:rsidRPr="000419D8">
        <w:rPr>
          <w:rFonts w:ascii="Times New Roman" w:eastAsiaTheme="minorHAnsi" w:hAnsi="Times New Roman"/>
          <w:bCs/>
          <w:sz w:val="22"/>
          <w:szCs w:val="22"/>
          <w:lang w:eastAsia="en-US"/>
        </w:rPr>
        <w:t>e</w:t>
      </w:r>
      <w:r w:rsidR="00C70AB7" w:rsidRPr="000419D8">
        <w:rPr>
          <w:rFonts w:ascii="Times New Roman" w:eastAsiaTheme="minorHAnsi" w:hAnsi="Times New Roman"/>
          <w:bCs/>
          <w:sz w:val="22"/>
          <w:szCs w:val="22"/>
          <w:lang w:eastAsia="en-US"/>
        </w:rPr>
        <w:t>lektronicznej</w:t>
      </w:r>
      <w:r w:rsidR="00C70AB7" w:rsidRPr="000419D8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>Wykonawca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>zobowiązuje się do jej usunięcia w ciągu 24 godzin od momentu wystąpienia awarii</w:t>
      </w:r>
      <w:r w:rsidR="00CB279A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lub zgłoszenia awarii przez Zamawiającego</w:t>
      </w:r>
      <w:r w:rsidR="00C70AB7" w:rsidRPr="000419D8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37690D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CB2252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Możliwość o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>dstąpieni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a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od umowy przez Zamawiającego, przez zawarcie w treści umowy następującego zapisu: „W razie wystąpienia okoliczności powodującej, że wykonanie umowy nie leży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>w interesie publicznym, czego nie można było przewidzieć w chwili zawarcia umowy,</w:t>
      </w:r>
      <w:r w:rsidR="00366A11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>Zamawiający może odstąpić od umowy w terminie miesiąca od powzięcia</w:t>
      </w:r>
      <w:r w:rsidR="00366A11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>wiadomości o powyższych okolicznościach i w</w:t>
      </w:r>
      <w:r w:rsidR="00366A11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takim przypadku Wykonawca może  </w:t>
      </w:r>
      <w:r w:rsidR="00F02E9B" w:rsidRPr="000419D8">
        <w:rPr>
          <w:rFonts w:ascii="Times New Roman" w:eastAsiaTheme="minorHAnsi" w:hAnsi="Times New Roman"/>
          <w:sz w:val="22"/>
          <w:szCs w:val="22"/>
          <w:lang w:eastAsia="en-US"/>
        </w:rPr>
        <w:t>żądać wyłącznie wynagrodzenia należnego mu z tytułu zrealizowanej części umowy.”</w:t>
      </w:r>
    </w:p>
    <w:p w:rsidR="0043743F" w:rsidRPr="000419D8" w:rsidRDefault="0043743F" w:rsidP="0043743F">
      <w:pPr>
        <w:pStyle w:val="Akapitzlis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3743F" w:rsidRPr="000419D8" w:rsidRDefault="00CB2252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Udzielenie kredytu w rachunku bieżącym na podstawie odrębnej umowy</w:t>
      </w:r>
      <w:r w:rsidR="004D6445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zawieranej w ramach tego samego postępowania o udzielenie zamówienia publicznego, na warunkach określonych w szczegółowym opisie przedmiotu zamówienia.</w:t>
      </w:r>
      <w:r w:rsidR="009D3B0E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43743F" w:rsidRPr="000419D8" w:rsidRDefault="0043743F" w:rsidP="0043743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4D6445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>Prawo wypowiedzenia umowy z trzymiesięcznym okresem wypowiedzenia przez każdą ze stron, z tym, że Wykonawca może dokonać wypowiedzenia jedynie z ważnych powodów. Wypowiedzenie winno być dokonane, pod rygorem nieważności, na piśmie. Wykonawca winien podać na piśmie przyczynę wypowiedzenia. Z tytułu wcześniejszego rozwiązania umowy Wykonawcy nie przysługują żadne roszczenia. Stronom przysługuje prawo rozwiązania umowy ze skutkiem natychmiastowym, w przypadku rażącego naruszenia warunków umowy przez drugą stronę.</w:t>
      </w:r>
      <w:r w:rsidR="00FC2B6F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 </w:t>
      </w:r>
    </w:p>
    <w:p w:rsidR="0043743F" w:rsidRPr="000419D8" w:rsidRDefault="0043743F" w:rsidP="0043743F">
      <w:pPr>
        <w:pStyle w:val="Akapitzlist"/>
        <w:rPr>
          <w:rFonts w:ascii="Times New Roman" w:eastAsia="Calibri" w:hAnsi="Times New Roman"/>
          <w:color w:val="000000"/>
          <w:sz w:val="22"/>
          <w:szCs w:val="22"/>
        </w:rPr>
      </w:pPr>
    </w:p>
    <w:p w:rsidR="0043743F" w:rsidRPr="000419D8" w:rsidRDefault="004D6445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W sprawach nie uregulowanych umową mają zastosowanie przepisy ogólnie obowiązujące prawa polskiego, a w szczególności </w:t>
      </w:r>
      <w:r w:rsidR="001F330F" w:rsidRPr="000419D8">
        <w:rPr>
          <w:rFonts w:ascii="Times New Roman" w:eastAsia="Calibri" w:hAnsi="Times New Roman"/>
          <w:color w:val="000000"/>
          <w:sz w:val="22"/>
          <w:szCs w:val="22"/>
        </w:rPr>
        <w:t>p</w:t>
      </w:r>
      <w:r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rawo bankowe, ustawa Prawo zamówień publicznych oraz przepisy Kodeksu Cywilnego. </w:t>
      </w:r>
      <w:r w:rsidR="00BF4236" w:rsidRPr="000419D8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:rsidR="0043743F" w:rsidRPr="000419D8" w:rsidRDefault="0043743F" w:rsidP="0043743F">
      <w:pPr>
        <w:pStyle w:val="Akapitzlist"/>
        <w:rPr>
          <w:rFonts w:ascii="Times New Roman" w:hAnsi="Times New Roman"/>
          <w:sz w:val="22"/>
          <w:szCs w:val="22"/>
        </w:rPr>
      </w:pPr>
    </w:p>
    <w:p w:rsidR="0043743F" w:rsidRPr="000419D8" w:rsidRDefault="004D6445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>Ewentualne spory mogące wyniknąć z wykonywania umowy strony poddają pod rozstrzygnięcie sądu powszechnego właściwego dla siedziby Zamawiającego.</w:t>
      </w:r>
    </w:p>
    <w:p w:rsidR="0043743F" w:rsidRPr="000419D8" w:rsidRDefault="0043743F" w:rsidP="0043743F">
      <w:pPr>
        <w:pStyle w:val="Akapitzlist"/>
        <w:rPr>
          <w:sz w:val="22"/>
          <w:szCs w:val="22"/>
        </w:rPr>
      </w:pPr>
    </w:p>
    <w:p w:rsidR="004D6445" w:rsidRPr="000419D8" w:rsidRDefault="004D6445" w:rsidP="0043743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 xml:space="preserve">Umowę </w:t>
      </w:r>
      <w:r w:rsidR="004F1C79" w:rsidRPr="000419D8">
        <w:rPr>
          <w:rFonts w:ascii="Times New Roman" w:hAnsi="Times New Roman"/>
          <w:sz w:val="22"/>
          <w:szCs w:val="22"/>
        </w:rPr>
        <w:t>na prowadzenie rachunków bankowych</w:t>
      </w:r>
      <w:r w:rsidR="00BF4236" w:rsidRPr="000419D8">
        <w:rPr>
          <w:rFonts w:ascii="Times New Roman" w:hAnsi="Times New Roman"/>
          <w:sz w:val="22"/>
          <w:szCs w:val="22"/>
        </w:rPr>
        <w:t xml:space="preserve"> </w:t>
      </w:r>
      <w:r w:rsidR="004F1C79" w:rsidRPr="000419D8">
        <w:rPr>
          <w:rFonts w:ascii="Times New Roman" w:hAnsi="Times New Roman"/>
          <w:sz w:val="22"/>
          <w:szCs w:val="22"/>
        </w:rPr>
        <w:t xml:space="preserve">na rzecz </w:t>
      </w:r>
      <w:r w:rsidR="00BF4236" w:rsidRPr="000419D8">
        <w:rPr>
          <w:rFonts w:ascii="Times New Roman" w:hAnsi="Times New Roman"/>
          <w:sz w:val="22"/>
          <w:szCs w:val="22"/>
        </w:rPr>
        <w:t>Gminy Skarżysko – Kamienna</w:t>
      </w:r>
      <w:r w:rsidR="00FC2B6F" w:rsidRPr="000419D8">
        <w:rPr>
          <w:rFonts w:ascii="Times New Roman" w:hAnsi="Times New Roman"/>
          <w:sz w:val="22"/>
          <w:szCs w:val="22"/>
        </w:rPr>
        <w:t xml:space="preserve"> (Zamawiającego)</w:t>
      </w:r>
      <w:r w:rsidR="00BF4236" w:rsidRPr="000419D8">
        <w:rPr>
          <w:rFonts w:ascii="Times New Roman" w:hAnsi="Times New Roman"/>
          <w:sz w:val="22"/>
          <w:szCs w:val="22"/>
        </w:rPr>
        <w:t xml:space="preserve"> </w:t>
      </w:r>
      <w:r w:rsidRPr="000419D8">
        <w:rPr>
          <w:rFonts w:ascii="Times New Roman" w:hAnsi="Times New Roman"/>
          <w:sz w:val="22"/>
          <w:szCs w:val="22"/>
        </w:rPr>
        <w:t xml:space="preserve">sporządzono w czterech jednobrzmiących egzemplarzach, </w:t>
      </w:r>
      <w:r w:rsidR="001F330F" w:rsidRPr="000419D8">
        <w:rPr>
          <w:rFonts w:ascii="Times New Roman" w:hAnsi="Times New Roman"/>
          <w:sz w:val="22"/>
          <w:szCs w:val="22"/>
        </w:rPr>
        <w:t>jeden</w:t>
      </w:r>
      <w:r w:rsidRPr="000419D8">
        <w:rPr>
          <w:rFonts w:ascii="Times New Roman" w:hAnsi="Times New Roman"/>
          <w:sz w:val="22"/>
          <w:szCs w:val="22"/>
        </w:rPr>
        <w:t xml:space="preserve"> egz</w:t>
      </w:r>
      <w:r w:rsidR="001F330F" w:rsidRPr="000419D8">
        <w:rPr>
          <w:rFonts w:ascii="Times New Roman" w:hAnsi="Times New Roman"/>
          <w:sz w:val="22"/>
          <w:szCs w:val="22"/>
        </w:rPr>
        <w:t>emplarz</w:t>
      </w:r>
      <w:r w:rsidRPr="000419D8">
        <w:rPr>
          <w:rFonts w:ascii="Times New Roman" w:hAnsi="Times New Roman"/>
          <w:sz w:val="22"/>
          <w:szCs w:val="22"/>
        </w:rPr>
        <w:t xml:space="preserve"> dla Wykonawcy, </w:t>
      </w:r>
      <w:r w:rsidR="001F330F" w:rsidRPr="000419D8">
        <w:rPr>
          <w:rFonts w:ascii="Times New Roman" w:hAnsi="Times New Roman"/>
          <w:sz w:val="22"/>
          <w:szCs w:val="22"/>
        </w:rPr>
        <w:t>trzy egzemplarze</w:t>
      </w:r>
      <w:r w:rsidRPr="000419D8">
        <w:rPr>
          <w:rFonts w:ascii="Times New Roman" w:hAnsi="Times New Roman"/>
          <w:sz w:val="22"/>
          <w:szCs w:val="22"/>
        </w:rPr>
        <w:t xml:space="preserve"> dla Zamawiającego.</w:t>
      </w:r>
    </w:p>
    <w:p w:rsidR="00957771" w:rsidRPr="000419D8" w:rsidRDefault="00957771" w:rsidP="00957771">
      <w:pPr>
        <w:pStyle w:val="Akapitzlist"/>
        <w:rPr>
          <w:b/>
          <w:sz w:val="22"/>
          <w:szCs w:val="22"/>
        </w:rPr>
      </w:pPr>
    </w:p>
    <w:p w:rsidR="0043743F" w:rsidRPr="000419D8" w:rsidRDefault="00957771" w:rsidP="0043743F">
      <w:pPr>
        <w:pStyle w:val="Standardowy0"/>
        <w:ind w:left="720"/>
        <w:jc w:val="both"/>
        <w:rPr>
          <w:b w:val="0"/>
          <w:color w:val="auto"/>
          <w:sz w:val="22"/>
          <w:szCs w:val="22"/>
        </w:rPr>
      </w:pPr>
      <w:r w:rsidRPr="000419D8">
        <w:rPr>
          <w:b w:val="0"/>
          <w:color w:val="auto"/>
          <w:sz w:val="22"/>
          <w:szCs w:val="22"/>
        </w:rPr>
        <w:t xml:space="preserve">Umowę </w:t>
      </w:r>
      <w:r w:rsidR="004F1C79" w:rsidRPr="000419D8">
        <w:rPr>
          <w:b w:val="0"/>
          <w:color w:val="auto"/>
          <w:sz w:val="22"/>
          <w:szCs w:val="22"/>
        </w:rPr>
        <w:t>na prowadzenie rachunków bankowych na rzecz gminnych</w:t>
      </w:r>
      <w:r w:rsidRPr="000419D8">
        <w:rPr>
          <w:b w:val="0"/>
          <w:color w:val="auto"/>
          <w:sz w:val="22"/>
          <w:szCs w:val="22"/>
        </w:rPr>
        <w:t xml:space="preserve"> jednostek organizacyjnych </w:t>
      </w:r>
      <w:r w:rsidR="004F1C79" w:rsidRPr="000419D8">
        <w:rPr>
          <w:b w:val="0"/>
          <w:color w:val="auto"/>
          <w:sz w:val="22"/>
          <w:szCs w:val="22"/>
        </w:rPr>
        <w:t xml:space="preserve">(Posiadaczy rachunków) </w:t>
      </w:r>
      <w:r w:rsidRPr="000419D8">
        <w:rPr>
          <w:b w:val="0"/>
          <w:color w:val="auto"/>
          <w:sz w:val="22"/>
          <w:szCs w:val="22"/>
        </w:rPr>
        <w:t xml:space="preserve">sporządzono </w:t>
      </w:r>
      <w:r w:rsidR="00907B14" w:rsidRPr="000419D8">
        <w:rPr>
          <w:b w:val="0"/>
          <w:color w:val="auto"/>
          <w:sz w:val="22"/>
          <w:szCs w:val="22"/>
        </w:rPr>
        <w:t>w czterech</w:t>
      </w:r>
      <w:r w:rsidRPr="000419D8">
        <w:rPr>
          <w:b w:val="0"/>
          <w:color w:val="auto"/>
          <w:sz w:val="22"/>
          <w:szCs w:val="22"/>
        </w:rPr>
        <w:t xml:space="preserve"> jednobrzmiących egzemplarzach, jeden egzemplarz dla Wykonawcy, jeden</w:t>
      </w:r>
      <w:r w:rsidR="00907B14" w:rsidRPr="000419D8">
        <w:rPr>
          <w:b w:val="0"/>
          <w:color w:val="auto"/>
          <w:sz w:val="22"/>
          <w:szCs w:val="22"/>
        </w:rPr>
        <w:t xml:space="preserve"> egzemplarz</w:t>
      </w:r>
      <w:r w:rsidRPr="000419D8">
        <w:rPr>
          <w:b w:val="0"/>
          <w:color w:val="auto"/>
          <w:sz w:val="22"/>
          <w:szCs w:val="22"/>
        </w:rPr>
        <w:t xml:space="preserve"> dla Zamawiającego</w:t>
      </w:r>
      <w:r w:rsidR="004F1C79" w:rsidRPr="000419D8">
        <w:rPr>
          <w:b w:val="0"/>
          <w:color w:val="auto"/>
          <w:sz w:val="22"/>
          <w:szCs w:val="22"/>
        </w:rPr>
        <w:t xml:space="preserve"> </w:t>
      </w:r>
      <w:r w:rsidR="00907B14" w:rsidRPr="000419D8">
        <w:rPr>
          <w:b w:val="0"/>
          <w:color w:val="auto"/>
          <w:sz w:val="22"/>
          <w:szCs w:val="22"/>
        </w:rPr>
        <w:lastRenderedPageBreak/>
        <w:t>(rejestr umów</w:t>
      </w:r>
      <w:r w:rsidR="00C32545" w:rsidRPr="000419D8">
        <w:rPr>
          <w:b w:val="0"/>
          <w:color w:val="auto"/>
          <w:sz w:val="22"/>
          <w:szCs w:val="22"/>
        </w:rPr>
        <w:t xml:space="preserve"> zawartych w wyniku postepowania w trybie zamówień publicznych</w:t>
      </w:r>
      <w:r w:rsidR="00907B14" w:rsidRPr="000419D8">
        <w:rPr>
          <w:b w:val="0"/>
          <w:color w:val="auto"/>
          <w:sz w:val="22"/>
          <w:szCs w:val="22"/>
        </w:rPr>
        <w:t>)</w:t>
      </w:r>
      <w:r w:rsidRPr="000419D8">
        <w:rPr>
          <w:b w:val="0"/>
          <w:color w:val="auto"/>
          <w:sz w:val="22"/>
          <w:szCs w:val="22"/>
        </w:rPr>
        <w:t xml:space="preserve">, </w:t>
      </w:r>
      <w:r w:rsidR="00C32545" w:rsidRPr="000419D8">
        <w:rPr>
          <w:b w:val="0"/>
          <w:color w:val="auto"/>
          <w:sz w:val="22"/>
          <w:szCs w:val="22"/>
        </w:rPr>
        <w:t>dwa egzemplarze dla jednostki organizacyjnej.</w:t>
      </w:r>
    </w:p>
    <w:p w:rsidR="0043743F" w:rsidRPr="000419D8" w:rsidRDefault="0043743F" w:rsidP="0043743F">
      <w:pPr>
        <w:pStyle w:val="Standardowy0"/>
        <w:ind w:left="720"/>
        <w:jc w:val="both"/>
        <w:rPr>
          <w:b w:val="0"/>
          <w:color w:val="auto"/>
          <w:sz w:val="22"/>
          <w:szCs w:val="22"/>
        </w:rPr>
      </w:pPr>
    </w:p>
    <w:p w:rsidR="001F330F" w:rsidRPr="003576E4" w:rsidRDefault="001F330F" w:rsidP="0043743F">
      <w:pPr>
        <w:pStyle w:val="Standardowy0"/>
        <w:numPr>
          <w:ilvl w:val="0"/>
          <w:numId w:val="15"/>
        </w:numPr>
        <w:jc w:val="both"/>
        <w:rPr>
          <w:b w:val="0"/>
          <w:color w:val="auto"/>
          <w:sz w:val="22"/>
          <w:szCs w:val="22"/>
        </w:rPr>
      </w:pPr>
      <w:r w:rsidRPr="003576E4">
        <w:rPr>
          <w:b w:val="0"/>
          <w:sz w:val="22"/>
          <w:szCs w:val="22"/>
        </w:rPr>
        <w:t xml:space="preserve">dopuszcza się możliwość dokonania zmian postanowień umowy w przypadku: 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>zaistnienia konieczności rozszerzenia przedmiotu umowy w związku z koniecznością   wykonywania zadań nałożonych na jednostki samorządu terytorialnego ustawami,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 xml:space="preserve">pojawienia się nowych produktów bankowych lub rozwiązań organizacyjnych, których wykorzystanie będzie korzystne dla Zamawiającego, 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/>
          <w:sz w:val="22"/>
          <w:szCs w:val="22"/>
        </w:rPr>
      </w:pPr>
      <w:r w:rsidRPr="000419D8">
        <w:rPr>
          <w:rFonts w:ascii="Times New Roman" w:eastAsia="Calibri" w:hAnsi="Times New Roman"/>
          <w:sz w:val="22"/>
          <w:szCs w:val="22"/>
        </w:rPr>
        <w:t>zmiany unormowań prawnych powszechnie obowiązujących, które będą miały wpływ na realizację umowy,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/>
          <w:sz w:val="22"/>
          <w:szCs w:val="22"/>
        </w:rPr>
      </w:pPr>
      <w:r w:rsidRPr="000419D8">
        <w:rPr>
          <w:rFonts w:ascii="Times New Roman" w:eastAsia="Calibri" w:hAnsi="Times New Roman"/>
          <w:sz w:val="22"/>
          <w:szCs w:val="22"/>
        </w:rPr>
        <w:t>w innych sytuacjach, których nie można było przewidzieć w chwili zawarcia umowy                                 i mających charakter zmian nieistotnych tj. nie odnoszących się do warunków, które gdyby zostały ujęte w ramach pierwotnej procedury udzielania zamówienia, umożliwiłyby dopuszczenie innej oferty niż ta, która została pierwotnie dopuszczona,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/>
          <w:sz w:val="22"/>
          <w:szCs w:val="22"/>
        </w:rPr>
      </w:pPr>
      <w:r w:rsidRPr="000419D8">
        <w:rPr>
          <w:rFonts w:ascii="Times New Roman" w:eastAsia="Calibri" w:hAnsi="Times New Roman"/>
          <w:sz w:val="22"/>
          <w:szCs w:val="22"/>
        </w:rPr>
        <w:t>nałożenia na Zamawiającego dodatkowych zadań lub zmiany jego struktury organizacyjnej,</w:t>
      </w:r>
    </w:p>
    <w:p w:rsidR="001F330F" w:rsidRPr="000419D8" w:rsidRDefault="001F330F" w:rsidP="001A5D8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 xml:space="preserve">wprowadzenia modyfikacji bądź wymiany systemów informatycznych Zamawiającego </w:t>
      </w:r>
      <w:r w:rsidR="001A5D83" w:rsidRPr="000419D8">
        <w:rPr>
          <w:rFonts w:ascii="Times New Roman" w:hAnsi="Times New Roman"/>
          <w:sz w:val="22"/>
          <w:szCs w:val="22"/>
        </w:rPr>
        <w:br/>
      </w:r>
      <w:r w:rsidRPr="000419D8">
        <w:rPr>
          <w:rFonts w:ascii="Times New Roman" w:hAnsi="Times New Roman"/>
          <w:sz w:val="22"/>
          <w:szCs w:val="22"/>
        </w:rPr>
        <w:t xml:space="preserve">i jego jednostek organizacyjnych, w tym w szczególności systemu finansowo-księgowego, jeżeli będzie to wywierać wpływ na przyjęte w umowie kompleksowej </w:t>
      </w:r>
      <w:r w:rsidR="001A5D83" w:rsidRPr="000419D8">
        <w:rPr>
          <w:rFonts w:ascii="Times New Roman" w:hAnsi="Times New Roman"/>
          <w:sz w:val="22"/>
          <w:szCs w:val="22"/>
        </w:rPr>
        <w:br/>
      </w:r>
      <w:r w:rsidRPr="000419D8">
        <w:rPr>
          <w:rFonts w:ascii="Times New Roman" w:hAnsi="Times New Roman"/>
          <w:sz w:val="22"/>
          <w:szCs w:val="22"/>
        </w:rPr>
        <w:t>i umowach szczegółowych ustalenia,</w:t>
      </w:r>
    </w:p>
    <w:p w:rsidR="005E23C2" w:rsidRPr="000419D8" w:rsidRDefault="001F330F" w:rsidP="001A5D8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/>
          <w:sz w:val="22"/>
          <w:szCs w:val="22"/>
        </w:rPr>
      </w:pPr>
      <w:r w:rsidRPr="000419D8">
        <w:rPr>
          <w:rFonts w:ascii="Times New Roman" w:eastAsia="Calibri" w:hAnsi="Times New Roman"/>
          <w:sz w:val="22"/>
          <w:szCs w:val="22"/>
        </w:rPr>
        <w:t>Przewidziane powyżej okoliczności stanowiące podstawę zmian do umowy, stanowią uprawnienie Zamawiającego nie zaś jego obowiązek wprowadzenia takich zmian.</w:t>
      </w:r>
      <w:r w:rsidR="005E23C2" w:rsidRPr="000419D8">
        <w:rPr>
          <w:rFonts w:ascii="Times New Roman" w:eastAsia="Calibri" w:hAnsi="Times New Roman"/>
          <w:sz w:val="22"/>
          <w:szCs w:val="22"/>
        </w:rPr>
        <w:t xml:space="preserve"> Wszelkie zmiany i uzupełnienia umowy wymagają formy pisemnej pod rygorem nieważności za zgodą obu stron. Nie stanowi zmiany umowy w rozumieniu art. 144 ustawy Pzp: zmiany formalnoorganizacyjne, zmiana danych związanych z obsługą administracyjno-organizacyjną Umowy, zmiany danych teleadresowych, zmiany osób wskazanych do kontaktów między Stronami.</w:t>
      </w:r>
    </w:p>
    <w:p w:rsidR="005E23C2" w:rsidRPr="000419D8" w:rsidRDefault="005E23C2" w:rsidP="00093977">
      <w:pPr>
        <w:autoSpaceDE w:val="0"/>
        <w:autoSpaceDN w:val="0"/>
        <w:adjustRightInd w:val="0"/>
        <w:jc w:val="both"/>
        <w:rPr>
          <w:rStyle w:val="Pogrubienie"/>
          <w:rFonts w:ascii="Times New Roman" w:eastAsia="Calibri" w:hAnsi="Times New Roman"/>
          <w:b w:val="0"/>
          <w:bCs w:val="0"/>
          <w:sz w:val="22"/>
          <w:szCs w:val="22"/>
        </w:rPr>
      </w:pPr>
    </w:p>
    <w:p w:rsidR="002E2140" w:rsidRPr="000419D8" w:rsidRDefault="00902146" w:rsidP="00902146">
      <w:pPr>
        <w:jc w:val="both"/>
        <w:rPr>
          <w:rFonts w:ascii="Times New Roman" w:hAnsi="Times New Roman"/>
          <w:b/>
          <w:sz w:val="22"/>
          <w:szCs w:val="22"/>
        </w:rPr>
      </w:pPr>
      <w:r w:rsidRPr="000419D8">
        <w:rPr>
          <w:rFonts w:ascii="Times New Roman" w:hAnsi="Times New Roman"/>
          <w:b/>
          <w:sz w:val="22"/>
          <w:szCs w:val="22"/>
        </w:rPr>
        <w:t>I</w:t>
      </w:r>
      <w:r w:rsidR="007358A0" w:rsidRPr="000419D8">
        <w:rPr>
          <w:rFonts w:ascii="Times New Roman" w:hAnsi="Times New Roman"/>
          <w:b/>
          <w:sz w:val="22"/>
          <w:szCs w:val="22"/>
        </w:rPr>
        <w:t>stotne postanowienia umowy</w:t>
      </w:r>
      <w:r w:rsidRPr="000419D8">
        <w:rPr>
          <w:rFonts w:ascii="Times New Roman" w:hAnsi="Times New Roman"/>
          <w:b/>
          <w:sz w:val="22"/>
          <w:szCs w:val="22"/>
        </w:rPr>
        <w:t xml:space="preserve"> dotyczące zatrudnienia i wynagrodzenia</w:t>
      </w:r>
      <w:r w:rsidR="007358A0" w:rsidRPr="000419D8">
        <w:rPr>
          <w:rFonts w:ascii="Times New Roman" w:hAnsi="Times New Roman"/>
          <w:b/>
          <w:sz w:val="22"/>
          <w:szCs w:val="22"/>
        </w:rPr>
        <w:t>:</w:t>
      </w:r>
      <w:r w:rsidR="00111A20" w:rsidRPr="000419D8">
        <w:rPr>
          <w:rFonts w:ascii="Times New Roman" w:hAnsi="Times New Roman"/>
          <w:b/>
          <w:sz w:val="22"/>
          <w:szCs w:val="22"/>
        </w:rPr>
        <w:t xml:space="preserve"> </w:t>
      </w:r>
    </w:p>
    <w:p w:rsidR="00111A20" w:rsidRPr="000419D8" w:rsidRDefault="00111A20" w:rsidP="00902146">
      <w:pPr>
        <w:jc w:val="both"/>
        <w:rPr>
          <w:rFonts w:ascii="Times New Roman" w:hAnsi="Times New Roman"/>
          <w:sz w:val="22"/>
          <w:szCs w:val="22"/>
        </w:rPr>
      </w:pPr>
      <w:r w:rsidRPr="000419D8">
        <w:rPr>
          <w:rFonts w:ascii="Times New Roman" w:hAnsi="Times New Roman"/>
          <w:sz w:val="22"/>
          <w:szCs w:val="22"/>
        </w:rPr>
        <w:t>- należy uwzględnić zapisy zawarte w rozdziale 5 zał. Nr 1 Warunki przetargowe .</w:t>
      </w:r>
    </w:p>
    <w:p w:rsidR="002F4C3C" w:rsidRPr="000419D8" w:rsidRDefault="00815383" w:rsidP="002A59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 w:val="22"/>
          <w:szCs w:val="22"/>
        </w:rPr>
      </w:pPr>
      <w:bookmarkStart w:id="0" w:name="_GoBack"/>
      <w:bookmarkEnd w:id="0"/>
      <w:r>
        <w:rPr>
          <w:rStyle w:val="Nagwek2"/>
          <w:color w:val="000000"/>
          <w:shd w:val="clear" w:color="auto" w:fill="FFFFFF"/>
        </w:rPr>
        <w:br/>
      </w:r>
    </w:p>
    <w:p w:rsidR="002F4C3C" w:rsidRPr="00D5636D" w:rsidRDefault="002F4C3C" w:rsidP="00111A20">
      <w:pPr>
        <w:pStyle w:val="Tekstpodstawowy2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636D">
        <w:rPr>
          <w:rFonts w:ascii="Times New Roman" w:hAnsi="Times New Roman"/>
          <w:b/>
          <w:sz w:val="22"/>
          <w:szCs w:val="22"/>
        </w:rPr>
        <w:t>Dopuszcza się możliwość dokonania zmian postanowień umowy w stosunku do treści oferty (zmiany kontraktowe), jeżeli konieczność wprowadzenia takich zmian wynika z następujących okoliczności</w:t>
      </w:r>
      <w:r w:rsidR="00D5636D">
        <w:rPr>
          <w:rFonts w:ascii="Times New Roman" w:hAnsi="Times New Roman"/>
          <w:b/>
          <w:sz w:val="22"/>
          <w:szCs w:val="22"/>
        </w:rPr>
        <w:t xml:space="preserve">    </w:t>
      </w:r>
      <w:r w:rsidR="00E31575" w:rsidRPr="00D5636D">
        <w:rPr>
          <w:rFonts w:ascii="Times New Roman" w:hAnsi="Times New Roman"/>
          <w:b/>
          <w:sz w:val="22"/>
          <w:szCs w:val="22"/>
          <w:u w:val="single"/>
        </w:rPr>
        <w:t>( art. 142 ust. 5 Pzp )</w:t>
      </w:r>
      <w:r w:rsidRPr="00D5636D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D5636D" w:rsidRDefault="00D5636D" w:rsidP="00F83DBB">
      <w:pPr>
        <w:pStyle w:val="NormalnyWeb"/>
        <w:tabs>
          <w:tab w:val="left" w:pos="331"/>
        </w:tabs>
        <w:suppressAutoHyphens w:val="0"/>
        <w:spacing w:before="120" w:after="0"/>
        <w:ind w:left="47"/>
        <w:jc w:val="both"/>
        <w:rPr>
          <w:rStyle w:val="Nagwek1"/>
          <w:rFonts w:eastAsia="Lucida Sans Unicode"/>
          <w:b/>
          <w:bCs/>
          <w:color w:val="000000"/>
          <w:shd w:val="clear" w:color="auto" w:fill="FFFFFF"/>
        </w:rPr>
      </w:pPr>
      <w:r>
        <w:t xml:space="preserve">W przypadku konieczności zmian umowy ustala się, </w:t>
      </w:r>
      <w:r>
        <w:br/>
        <w:t xml:space="preserve">że zmiany mogą zostać dokonane jedynie na pisemny i uzasadniony wniosek stron. </w:t>
      </w:r>
      <w:r>
        <w:rPr>
          <w:rStyle w:val="Nagwek1"/>
          <w:rFonts w:eastAsia="Lucida Sans Unicode"/>
          <w:color w:val="000000"/>
        </w:rPr>
        <w:t xml:space="preserve">Wykonawca do </w:t>
      </w:r>
      <w:r w:rsidR="00E56BF0">
        <w:rPr>
          <w:rStyle w:val="Nagwek1"/>
          <w:rFonts w:eastAsia="Lucida Sans Unicode"/>
          <w:color w:val="000000"/>
        </w:rPr>
        <w:t xml:space="preserve">wniosku </w:t>
      </w:r>
      <w:r>
        <w:rPr>
          <w:rStyle w:val="Nagwek1"/>
          <w:rFonts w:eastAsia="Lucida Sans Unicode"/>
          <w:color w:val="000000"/>
        </w:rPr>
        <w:t>zobowiązany jest załączyć wszelkie dowody na potwierdzenie, że zmiany prawa w zakresie określonym w ust. 5 miały wpływ na koszty wykonania przedmiotu umowy</w:t>
      </w:r>
      <w:r>
        <w:rPr>
          <w:rStyle w:val="Nagwek1"/>
          <w:rFonts w:eastAsia="Lucida Sans Unicode"/>
          <w:b/>
          <w:bCs/>
          <w:color w:val="000000"/>
          <w:shd w:val="clear" w:color="auto" w:fill="FFFFFF"/>
        </w:rPr>
        <w:t>.</w:t>
      </w:r>
    </w:p>
    <w:p w:rsidR="001209DB" w:rsidRPr="00F83DBB" w:rsidRDefault="00F83DBB" w:rsidP="00F83DBB">
      <w:pPr>
        <w:pStyle w:val="NormalnyWeb"/>
        <w:tabs>
          <w:tab w:val="left" w:pos="331"/>
        </w:tabs>
        <w:suppressAutoHyphens w:val="0"/>
        <w:spacing w:before="120" w:after="0" w:line="360" w:lineRule="auto"/>
        <w:ind w:left="47"/>
        <w:jc w:val="both"/>
        <w:rPr>
          <w:b/>
          <w:u w:val="single"/>
        </w:rPr>
      </w:pPr>
      <w:r w:rsidRPr="00F83DBB">
        <w:rPr>
          <w:b/>
          <w:u w:val="single"/>
        </w:rPr>
        <w:t>Propozycja zapisów w tym zakresie – zawarta w  rozdziale 29 zał. 1 Warunki przetargowe.</w:t>
      </w:r>
    </w:p>
    <w:p w:rsidR="002F4C3C" w:rsidRPr="000419D8" w:rsidRDefault="002F4C3C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sz w:val="22"/>
          <w:szCs w:val="22"/>
        </w:rPr>
      </w:pPr>
    </w:p>
    <w:p w:rsidR="00587DA0" w:rsidRPr="000419D8" w:rsidRDefault="00587DA0" w:rsidP="00093977">
      <w:pPr>
        <w:pStyle w:val="Tekstpodstawowywcity"/>
        <w:spacing w:after="0"/>
        <w:ind w:left="0" w:right="675"/>
        <w:jc w:val="both"/>
        <w:rPr>
          <w:rFonts w:ascii="Times New Roman" w:hAnsi="Times New Roman"/>
          <w:b/>
          <w:bCs/>
          <w:sz w:val="22"/>
          <w:szCs w:val="22"/>
        </w:rPr>
      </w:pPr>
      <w:r w:rsidRPr="000419D8">
        <w:rPr>
          <w:rFonts w:ascii="Times New Roman" w:hAnsi="Times New Roman"/>
          <w:b/>
          <w:bCs/>
          <w:sz w:val="22"/>
          <w:szCs w:val="22"/>
        </w:rPr>
        <w:t>Kary umowne</w:t>
      </w:r>
    </w:p>
    <w:p w:rsidR="002B7101" w:rsidRPr="000419D8" w:rsidRDefault="002B7101" w:rsidP="00093977">
      <w:pPr>
        <w:pStyle w:val="Tekstpodstawowywcity"/>
        <w:spacing w:after="0"/>
        <w:ind w:left="0" w:right="67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41D95" w:rsidRPr="000419D8" w:rsidRDefault="002B7101" w:rsidP="0090214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1) Wykonawca zapłaci Zamawiającemu kary umowne z tytułu niewykonania lub</w:t>
      </w:r>
      <w:r w:rsidR="00902146"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nienależytego wykonania przedmiotu zamówienia w przypadku:</w:t>
      </w:r>
    </w:p>
    <w:p w:rsidR="000C502A" w:rsidRPr="000419D8" w:rsidRDefault="00140CCA" w:rsidP="000C502A">
      <w:pPr>
        <w:pStyle w:val="Tekstpodstawowywcity"/>
        <w:numPr>
          <w:ilvl w:val="0"/>
          <w:numId w:val="4"/>
        </w:numPr>
        <w:spacing w:after="0"/>
        <w:ind w:right="-108"/>
        <w:jc w:val="both"/>
        <w:rPr>
          <w:rFonts w:ascii="Times New Roman" w:hAnsi="Times New Roman"/>
          <w:bCs/>
          <w:sz w:val="22"/>
          <w:szCs w:val="22"/>
        </w:rPr>
      </w:pPr>
      <w:r w:rsidRPr="000419D8">
        <w:rPr>
          <w:rFonts w:ascii="Times New Roman" w:hAnsi="Times New Roman"/>
          <w:bCs/>
          <w:sz w:val="22"/>
          <w:szCs w:val="22"/>
        </w:rPr>
        <w:t>n</w:t>
      </w:r>
      <w:r w:rsidR="000C502A" w:rsidRPr="000419D8">
        <w:rPr>
          <w:rFonts w:ascii="Times New Roman" w:hAnsi="Times New Roman"/>
          <w:bCs/>
          <w:sz w:val="22"/>
          <w:szCs w:val="22"/>
        </w:rPr>
        <w:t>ieuruchomienia,</w:t>
      </w:r>
      <w:r w:rsidRPr="000419D8">
        <w:rPr>
          <w:rFonts w:ascii="Times New Roman" w:hAnsi="Times New Roman"/>
          <w:bCs/>
          <w:sz w:val="22"/>
          <w:szCs w:val="22"/>
        </w:rPr>
        <w:t xml:space="preserve"> </w:t>
      </w:r>
      <w:r w:rsidR="00FB411E" w:rsidRPr="000419D8">
        <w:rPr>
          <w:rFonts w:ascii="Times New Roman" w:hAnsi="Times New Roman"/>
          <w:bCs/>
          <w:sz w:val="22"/>
          <w:szCs w:val="22"/>
        </w:rPr>
        <w:t xml:space="preserve">nienależytego uruchomienia rachunków bankowych lub </w:t>
      </w:r>
      <w:r w:rsidR="000C502A" w:rsidRPr="000419D8">
        <w:rPr>
          <w:rFonts w:ascii="Times New Roman" w:hAnsi="Times New Roman"/>
          <w:bCs/>
          <w:sz w:val="22"/>
          <w:szCs w:val="22"/>
        </w:rPr>
        <w:t>kredytu w rachunk</w:t>
      </w:r>
      <w:r w:rsidR="009004FF" w:rsidRPr="000419D8">
        <w:rPr>
          <w:rFonts w:ascii="Times New Roman" w:hAnsi="Times New Roman"/>
          <w:bCs/>
          <w:sz w:val="22"/>
          <w:szCs w:val="22"/>
        </w:rPr>
        <w:t>u bieżącym - kara w wysokości 1</w:t>
      </w:r>
      <w:r w:rsidR="000C502A" w:rsidRPr="000419D8">
        <w:rPr>
          <w:rFonts w:ascii="Times New Roman" w:hAnsi="Times New Roman"/>
          <w:bCs/>
          <w:sz w:val="22"/>
          <w:szCs w:val="22"/>
        </w:rPr>
        <w:t xml:space="preserve">.000,- zł </w:t>
      </w:r>
      <w:r w:rsidR="009004FF" w:rsidRPr="000419D8">
        <w:rPr>
          <w:rFonts w:ascii="Times New Roman" w:hAnsi="Times New Roman"/>
          <w:bCs/>
          <w:sz w:val="22"/>
          <w:szCs w:val="22"/>
        </w:rPr>
        <w:t>(słownie: jeden</w:t>
      </w:r>
      <w:r w:rsidR="00682928" w:rsidRPr="000419D8">
        <w:rPr>
          <w:rFonts w:ascii="Times New Roman" w:hAnsi="Times New Roman"/>
          <w:bCs/>
          <w:sz w:val="22"/>
          <w:szCs w:val="22"/>
        </w:rPr>
        <w:t xml:space="preserve"> tysiąc</w:t>
      </w:r>
      <w:r w:rsidRPr="000419D8">
        <w:rPr>
          <w:rFonts w:ascii="Times New Roman" w:hAnsi="Times New Roman"/>
          <w:bCs/>
          <w:sz w:val="22"/>
          <w:szCs w:val="22"/>
        </w:rPr>
        <w:t xml:space="preserve"> złotych) </w:t>
      </w:r>
      <w:r w:rsidR="000C502A" w:rsidRPr="000419D8">
        <w:rPr>
          <w:rFonts w:ascii="Times New Roman" w:hAnsi="Times New Roman"/>
          <w:bCs/>
          <w:sz w:val="22"/>
          <w:szCs w:val="22"/>
        </w:rPr>
        <w:t>za każdy dzień niewykonania lub nienależytego wykonania umowy</w:t>
      </w:r>
      <w:r w:rsidRPr="000419D8">
        <w:rPr>
          <w:rFonts w:ascii="Times New Roman" w:hAnsi="Times New Roman"/>
          <w:bCs/>
          <w:sz w:val="22"/>
          <w:szCs w:val="22"/>
        </w:rPr>
        <w:t>;</w:t>
      </w:r>
      <w:r w:rsidR="000C502A" w:rsidRPr="000419D8">
        <w:rPr>
          <w:rFonts w:ascii="Times New Roman" w:hAnsi="Times New Roman"/>
          <w:bCs/>
          <w:sz w:val="22"/>
          <w:szCs w:val="22"/>
        </w:rPr>
        <w:t xml:space="preserve"> </w:t>
      </w:r>
    </w:p>
    <w:p w:rsidR="00582B40" w:rsidRPr="000419D8" w:rsidRDefault="00582B40" w:rsidP="00582B40">
      <w:pPr>
        <w:pStyle w:val="Akapitzlist"/>
        <w:numPr>
          <w:ilvl w:val="0"/>
          <w:numId w:val="4"/>
        </w:numPr>
        <w:spacing w:before="120"/>
        <w:contextualSpacing/>
        <w:jc w:val="both"/>
        <w:rPr>
          <w:rFonts w:ascii="Times New Roman" w:hAnsi="Times New Roman"/>
          <w:sz w:val="22"/>
          <w:szCs w:val="22"/>
        </w:rPr>
      </w:pPr>
      <w:r w:rsidRPr="000419D8">
        <w:rPr>
          <w:rFonts w:ascii="Times New Roman" w:eastAsia="Calibri" w:hAnsi="Times New Roman"/>
          <w:color w:val="000000"/>
          <w:sz w:val="22"/>
          <w:szCs w:val="22"/>
        </w:rPr>
        <w:lastRenderedPageBreak/>
        <w:t xml:space="preserve">W przypadku ujawnienia niespełnienia wymogu zatrudnienia przez Wykonawcę na podstawie umowy o pracę osób wykonujących czynności w trakcie realizacji zamówienia  i oświadczenie Wykonawcy, o którym mowa w ust.1 okazało się nieprawdziwe, Wykonawca zapłaci Zamawiającemu kary umowne w wysokości 2.000,00 zł za każdy ujawniony przypadek niespełnienia wymogu zatrudnienia na umowę o pracę osób wykonujących czynności w trakcie realizacji zamówienia; </w:t>
      </w:r>
    </w:p>
    <w:p w:rsidR="00582B40" w:rsidRPr="000419D8" w:rsidRDefault="00582B40" w:rsidP="00582B40">
      <w:pPr>
        <w:pStyle w:val="Akapitzlist"/>
        <w:spacing w:before="120"/>
        <w:ind w:left="720"/>
        <w:contextualSpacing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B76F64" w:rsidRPr="000419D8" w:rsidRDefault="00300C66" w:rsidP="00300C66">
      <w:pPr>
        <w:autoSpaceDE w:val="0"/>
        <w:autoSpaceDN w:val="0"/>
        <w:adjustRightInd w:val="0"/>
        <w:ind w:left="705" w:hanging="70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 xml:space="preserve">2) </w:t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2B7101" w:rsidRPr="000419D8">
        <w:rPr>
          <w:rFonts w:ascii="Times New Roman" w:eastAsiaTheme="minorHAnsi" w:hAnsi="Times New Roman"/>
          <w:sz w:val="22"/>
          <w:szCs w:val="22"/>
          <w:lang w:eastAsia="en-US"/>
        </w:rPr>
        <w:t>Zapłata kary nie wyłącza uprawnienia Zamawiającego do żądania zapłaty odszkodowania uzupełniającego, w tym także na drodze sądowej, w przypadku, gdy wysokość poniesionej na skutek działania lub zaniechania Wykonawcy szkody przewyższa wartość kary.</w:t>
      </w:r>
    </w:p>
    <w:p w:rsidR="00300C66" w:rsidRPr="000419D8" w:rsidRDefault="00F64AAE" w:rsidP="00300C6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hanging="72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W przypadku powstania opóźnień w realizacji przelewów z przyczyn leżących po stronie Wykonawcy, Wykonawca zobowiązany będzie do pokrycia Zamawiającemu wszelkich wynikających z tego tytułu kosztów, w szczególności odsetek.</w:t>
      </w:r>
    </w:p>
    <w:p w:rsidR="00300C66" w:rsidRPr="000419D8" w:rsidRDefault="00300C66" w:rsidP="00300C6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hanging="72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19D8">
        <w:rPr>
          <w:rFonts w:ascii="Times New Roman" w:eastAsiaTheme="minorHAnsi" w:hAnsi="Times New Roman"/>
          <w:sz w:val="22"/>
          <w:szCs w:val="22"/>
          <w:lang w:eastAsia="en-US"/>
        </w:rPr>
        <w:t>Gdy w okresie realizacji umowy Wykonawca, pomimo trzykrotnego wezwania przez Zamawiającego do usunięcia niezgodności w zakresie realizowanej obsługi bankowej w stosunku do opisu przedmiotu zamówienia, nie usunie niezgodności, Zamawiającemu przysługuje prawo rozwiązania umowy z zachowaniem 3-miesięcznego okresu wypowiedzenia (oświadczenie o wypowiedzeniu umowy następuje na piśmie).</w:t>
      </w:r>
    </w:p>
    <w:p w:rsidR="00300C66" w:rsidRDefault="00300C66" w:rsidP="00300C66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15383" w:rsidRPr="00815383" w:rsidRDefault="00815383" w:rsidP="00300C66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</w:p>
    <w:sectPr w:rsidR="00815383" w:rsidRPr="00815383" w:rsidSect="000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4B1"/>
    <w:multiLevelType w:val="multilevel"/>
    <w:tmpl w:val="BEA2BE9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05791821"/>
    <w:multiLevelType w:val="hybridMultilevel"/>
    <w:tmpl w:val="46E63A16"/>
    <w:lvl w:ilvl="0" w:tplc="945A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10B949DE"/>
    <w:multiLevelType w:val="multilevel"/>
    <w:tmpl w:val="28CEB68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0CB7D9F"/>
    <w:multiLevelType w:val="hybridMultilevel"/>
    <w:tmpl w:val="169A8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63378"/>
    <w:multiLevelType w:val="hybridMultilevel"/>
    <w:tmpl w:val="16AE7842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043EE"/>
    <w:multiLevelType w:val="hybridMultilevel"/>
    <w:tmpl w:val="4FFE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1888"/>
    <w:multiLevelType w:val="hybridMultilevel"/>
    <w:tmpl w:val="A55AFE4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62098D"/>
    <w:multiLevelType w:val="multilevel"/>
    <w:tmpl w:val="1C46EB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AF65314"/>
    <w:multiLevelType w:val="hybridMultilevel"/>
    <w:tmpl w:val="41CC8906"/>
    <w:lvl w:ilvl="0" w:tplc="4B1CC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C0430"/>
    <w:multiLevelType w:val="hybridMultilevel"/>
    <w:tmpl w:val="CC36A75A"/>
    <w:lvl w:ilvl="0" w:tplc="C898E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478AC"/>
    <w:multiLevelType w:val="hybridMultilevel"/>
    <w:tmpl w:val="7BDC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6F81"/>
    <w:multiLevelType w:val="hybridMultilevel"/>
    <w:tmpl w:val="E3DAC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6B639F"/>
    <w:multiLevelType w:val="hybridMultilevel"/>
    <w:tmpl w:val="605C0FA8"/>
    <w:lvl w:ilvl="0" w:tplc="3342E4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DA46B8"/>
    <w:multiLevelType w:val="hybridMultilevel"/>
    <w:tmpl w:val="74FC8332"/>
    <w:lvl w:ilvl="0" w:tplc="F3F816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53A14"/>
    <w:multiLevelType w:val="hybridMultilevel"/>
    <w:tmpl w:val="27820A40"/>
    <w:lvl w:ilvl="0" w:tplc="81BA4572">
      <w:start w:val="1"/>
      <w:numFmt w:val="lowerLetter"/>
      <w:lvlText w:val="%1)"/>
      <w:lvlJc w:val="left"/>
      <w:pPr>
        <w:ind w:left="1222" w:hanging="360"/>
      </w:pPr>
    </w:lvl>
    <w:lvl w:ilvl="1" w:tplc="86ACFC1C">
      <w:start w:val="10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3AC4382D"/>
    <w:multiLevelType w:val="hybridMultilevel"/>
    <w:tmpl w:val="B220F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14A82"/>
    <w:multiLevelType w:val="hybridMultilevel"/>
    <w:tmpl w:val="FBB87B28"/>
    <w:lvl w:ilvl="0" w:tplc="A3D229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50AD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96B174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7F30CEA6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7F30CEA6">
      <w:start w:val="1"/>
      <w:numFmt w:val="lowerLetter"/>
      <w:lvlText w:val="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6202E6"/>
    <w:multiLevelType w:val="multilevel"/>
    <w:tmpl w:val="5F8034F6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6E42044"/>
    <w:multiLevelType w:val="hybridMultilevel"/>
    <w:tmpl w:val="1F86A58C"/>
    <w:lvl w:ilvl="0" w:tplc="DBFA85C8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588E75B9"/>
    <w:multiLevelType w:val="hybridMultilevel"/>
    <w:tmpl w:val="5138670E"/>
    <w:lvl w:ilvl="0" w:tplc="8A705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B10B4"/>
    <w:multiLevelType w:val="hybridMultilevel"/>
    <w:tmpl w:val="FF1EC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D35E8"/>
    <w:multiLevelType w:val="hybridMultilevel"/>
    <w:tmpl w:val="5490AC10"/>
    <w:lvl w:ilvl="0" w:tplc="E6E6A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A0313"/>
    <w:multiLevelType w:val="hybridMultilevel"/>
    <w:tmpl w:val="27A2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30758"/>
    <w:multiLevelType w:val="hybridMultilevel"/>
    <w:tmpl w:val="B33CA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BD1C9C"/>
    <w:multiLevelType w:val="hybridMultilevel"/>
    <w:tmpl w:val="9C4C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A5670"/>
    <w:multiLevelType w:val="hybridMultilevel"/>
    <w:tmpl w:val="B9520800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07B91"/>
    <w:multiLevelType w:val="hybridMultilevel"/>
    <w:tmpl w:val="97AC206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77600"/>
    <w:multiLevelType w:val="hybridMultilevel"/>
    <w:tmpl w:val="42366526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B4CF8"/>
    <w:multiLevelType w:val="hybridMultilevel"/>
    <w:tmpl w:val="07D6E5D6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14318"/>
    <w:multiLevelType w:val="hybridMultilevel"/>
    <w:tmpl w:val="43BAC8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6155B"/>
    <w:multiLevelType w:val="hybridMultilevel"/>
    <w:tmpl w:val="2FF8CC40"/>
    <w:lvl w:ilvl="0" w:tplc="2E749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517DF4"/>
    <w:multiLevelType w:val="hybridMultilevel"/>
    <w:tmpl w:val="A102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20FF3"/>
    <w:multiLevelType w:val="hybridMultilevel"/>
    <w:tmpl w:val="2C6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B4309"/>
    <w:multiLevelType w:val="hybridMultilevel"/>
    <w:tmpl w:val="3DC0472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43E73"/>
    <w:multiLevelType w:val="hybridMultilevel"/>
    <w:tmpl w:val="E278A494"/>
    <w:lvl w:ilvl="0" w:tplc="E79014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A7EB9"/>
    <w:multiLevelType w:val="hybridMultilevel"/>
    <w:tmpl w:val="5AA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23"/>
  </w:num>
  <w:num w:numId="8">
    <w:abstractNumId w:val="7"/>
  </w:num>
  <w:num w:numId="9">
    <w:abstractNumId w:val="24"/>
  </w:num>
  <w:num w:numId="10">
    <w:abstractNumId w:val="6"/>
  </w:num>
  <w:num w:numId="11">
    <w:abstractNumId w:val="30"/>
  </w:num>
  <w:num w:numId="12">
    <w:abstractNumId w:val="20"/>
  </w:num>
  <w:num w:numId="13">
    <w:abstractNumId w:val="11"/>
  </w:num>
  <w:num w:numId="14">
    <w:abstractNumId w:val="35"/>
  </w:num>
  <w:num w:numId="15">
    <w:abstractNumId w:val="34"/>
  </w:num>
  <w:num w:numId="16">
    <w:abstractNumId w:val="21"/>
  </w:num>
  <w:num w:numId="17">
    <w:abstractNumId w:val="33"/>
  </w:num>
  <w:num w:numId="18">
    <w:abstractNumId w:val="37"/>
  </w:num>
  <w:num w:numId="19">
    <w:abstractNumId w:val="29"/>
  </w:num>
  <w:num w:numId="20">
    <w:abstractNumId w:val="13"/>
  </w:num>
  <w:num w:numId="21">
    <w:abstractNumId w:val="2"/>
  </w:num>
  <w:num w:numId="22">
    <w:abstractNumId w:val="28"/>
  </w:num>
  <w:num w:numId="23">
    <w:abstractNumId w:val="25"/>
  </w:num>
  <w:num w:numId="24">
    <w:abstractNumId w:val="27"/>
  </w:num>
  <w:num w:numId="25">
    <w:abstractNumId w:val="0"/>
  </w:num>
  <w:num w:numId="26">
    <w:abstractNumId w:val="18"/>
  </w:num>
  <w:num w:numId="27">
    <w:abstractNumId w:val="10"/>
  </w:num>
  <w:num w:numId="28">
    <w:abstractNumId w:val="12"/>
  </w:num>
  <w:num w:numId="29">
    <w:abstractNumId w:val="15"/>
  </w:num>
  <w:num w:numId="30">
    <w:abstractNumId w:val="18"/>
  </w:num>
  <w:num w:numId="31">
    <w:abstractNumId w:val="8"/>
  </w:num>
  <w:num w:numId="32">
    <w:abstractNumId w:val="5"/>
  </w:num>
  <w:num w:numId="33">
    <w:abstractNumId w:val="22"/>
  </w:num>
  <w:num w:numId="34">
    <w:abstractNumId w:val="14"/>
  </w:num>
  <w:num w:numId="35">
    <w:abstractNumId w:val="26"/>
  </w:num>
  <w:num w:numId="36">
    <w:abstractNumId w:val="36"/>
  </w:num>
  <w:num w:numId="37">
    <w:abstractNumId w:val="3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6D3"/>
    <w:rsid w:val="00002CC7"/>
    <w:rsid w:val="00003EB5"/>
    <w:rsid w:val="000120C7"/>
    <w:rsid w:val="000419D8"/>
    <w:rsid w:val="00063852"/>
    <w:rsid w:val="00082C78"/>
    <w:rsid w:val="00093977"/>
    <w:rsid w:val="000B1688"/>
    <w:rsid w:val="000B66E0"/>
    <w:rsid w:val="000B6B7B"/>
    <w:rsid w:val="000C502A"/>
    <w:rsid w:val="000D0A9B"/>
    <w:rsid w:val="000E326F"/>
    <w:rsid w:val="000E649E"/>
    <w:rsid w:val="00111A20"/>
    <w:rsid w:val="001209DB"/>
    <w:rsid w:val="00132010"/>
    <w:rsid w:val="00140CCA"/>
    <w:rsid w:val="001514EA"/>
    <w:rsid w:val="001575E9"/>
    <w:rsid w:val="00194A8C"/>
    <w:rsid w:val="001A5D83"/>
    <w:rsid w:val="001D19A5"/>
    <w:rsid w:val="001D3796"/>
    <w:rsid w:val="001F330F"/>
    <w:rsid w:val="001F4AED"/>
    <w:rsid w:val="00230842"/>
    <w:rsid w:val="00234D1F"/>
    <w:rsid w:val="002403C2"/>
    <w:rsid w:val="0024186E"/>
    <w:rsid w:val="00285982"/>
    <w:rsid w:val="002A59FE"/>
    <w:rsid w:val="002B24B0"/>
    <w:rsid w:val="002B7101"/>
    <w:rsid w:val="002D52BC"/>
    <w:rsid w:val="002D5DB2"/>
    <w:rsid w:val="002E2140"/>
    <w:rsid w:val="002F2218"/>
    <w:rsid w:val="002F4C3C"/>
    <w:rsid w:val="00300C66"/>
    <w:rsid w:val="0031630B"/>
    <w:rsid w:val="0031784F"/>
    <w:rsid w:val="003229CB"/>
    <w:rsid w:val="0032747E"/>
    <w:rsid w:val="003369C4"/>
    <w:rsid w:val="003576E4"/>
    <w:rsid w:val="00366A11"/>
    <w:rsid w:val="00366AB1"/>
    <w:rsid w:val="0037690D"/>
    <w:rsid w:val="00384106"/>
    <w:rsid w:val="003B6D73"/>
    <w:rsid w:val="003C1952"/>
    <w:rsid w:val="003D0349"/>
    <w:rsid w:val="004351C4"/>
    <w:rsid w:val="0043743F"/>
    <w:rsid w:val="00446B33"/>
    <w:rsid w:val="00447497"/>
    <w:rsid w:val="00460184"/>
    <w:rsid w:val="0047663B"/>
    <w:rsid w:val="00494F62"/>
    <w:rsid w:val="004B69DC"/>
    <w:rsid w:val="004C7E26"/>
    <w:rsid w:val="004D6445"/>
    <w:rsid w:val="004F1C79"/>
    <w:rsid w:val="00520D07"/>
    <w:rsid w:val="00521E01"/>
    <w:rsid w:val="005223E1"/>
    <w:rsid w:val="00571694"/>
    <w:rsid w:val="00582B40"/>
    <w:rsid w:val="00587DA0"/>
    <w:rsid w:val="005A06E9"/>
    <w:rsid w:val="005A3E8E"/>
    <w:rsid w:val="005E0356"/>
    <w:rsid w:val="005E23C2"/>
    <w:rsid w:val="005E6EF4"/>
    <w:rsid w:val="00606C8E"/>
    <w:rsid w:val="0061659C"/>
    <w:rsid w:val="006242BB"/>
    <w:rsid w:val="00624F2D"/>
    <w:rsid w:val="00682928"/>
    <w:rsid w:val="006C077C"/>
    <w:rsid w:val="006E2D92"/>
    <w:rsid w:val="006E5971"/>
    <w:rsid w:val="007358A0"/>
    <w:rsid w:val="00737301"/>
    <w:rsid w:val="007866A4"/>
    <w:rsid w:val="007B38FC"/>
    <w:rsid w:val="007C2838"/>
    <w:rsid w:val="007E02D3"/>
    <w:rsid w:val="007F17BB"/>
    <w:rsid w:val="00815383"/>
    <w:rsid w:val="00836531"/>
    <w:rsid w:val="00844CB6"/>
    <w:rsid w:val="00847E34"/>
    <w:rsid w:val="00851C83"/>
    <w:rsid w:val="00854E8A"/>
    <w:rsid w:val="00856237"/>
    <w:rsid w:val="008738F7"/>
    <w:rsid w:val="008818C3"/>
    <w:rsid w:val="00883AE3"/>
    <w:rsid w:val="008954C3"/>
    <w:rsid w:val="009004FF"/>
    <w:rsid w:val="00902146"/>
    <w:rsid w:val="00907B14"/>
    <w:rsid w:val="009210E5"/>
    <w:rsid w:val="009528DF"/>
    <w:rsid w:val="00957771"/>
    <w:rsid w:val="00997FA4"/>
    <w:rsid w:val="009C647D"/>
    <w:rsid w:val="009D3B0E"/>
    <w:rsid w:val="009F13C6"/>
    <w:rsid w:val="00A27904"/>
    <w:rsid w:val="00A32DE3"/>
    <w:rsid w:val="00A364BE"/>
    <w:rsid w:val="00A75F9F"/>
    <w:rsid w:val="00A96ABB"/>
    <w:rsid w:val="00AA57A7"/>
    <w:rsid w:val="00AB4E0C"/>
    <w:rsid w:val="00AB6A47"/>
    <w:rsid w:val="00AC1A86"/>
    <w:rsid w:val="00AE0481"/>
    <w:rsid w:val="00B22C89"/>
    <w:rsid w:val="00B75135"/>
    <w:rsid w:val="00B76F64"/>
    <w:rsid w:val="00B92C0D"/>
    <w:rsid w:val="00BA2329"/>
    <w:rsid w:val="00BE6DF9"/>
    <w:rsid w:val="00BF0E18"/>
    <w:rsid w:val="00BF4236"/>
    <w:rsid w:val="00BF62F7"/>
    <w:rsid w:val="00C03753"/>
    <w:rsid w:val="00C13E83"/>
    <w:rsid w:val="00C2784D"/>
    <w:rsid w:val="00C32545"/>
    <w:rsid w:val="00C32EA5"/>
    <w:rsid w:val="00C41D95"/>
    <w:rsid w:val="00C70AB7"/>
    <w:rsid w:val="00C766D3"/>
    <w:rsid w:val="00C87486"/>
    <w:rsid w:val="00CB2252"/>
    <w:rsid w:val="00CB279A"/>
    <w:rsid w:val="00CC13A3"/>
    <w:rsid w:val="00CC2F2D"/>
    <w:rsid w:val="00CE1FC9"/>
    <w:rsid w:val="00D52A06"/>
    <w:rsid w:val="00D5636D"/>
    <w:rsid w:val="00D72576"/>
    <w:rsid w:val="00D91C8B"/>
    <w:rsid w:val="00DA36F1"/>
    <w:rsid w:val="00DD358D"/>
    <w:rsid w:val="00DF7822"/>
    <w:rsid w:val="00E236D3"/>
    <w:rsid w:val="00E3146D"/>
    <w:rsid w:val="00E31575"/>
    <w:rsid w:val="00E56BF0"/>
    <w:rsid w:val="00E570AD"/>
    <w:rsid w:val="00E87884"/>
    <w:rsid w:val="00EA47B4"/>
    <w:rsid w:val="00EA6CE5"/>
    <w:rsid w:val="00F02E9B"/>
    <w:rsid w:val="00F06B60"/>
    <w:rsid w:val="00F147B4"/>
    <w:rsid w:val="00F1658D"/>
    <w:rsid w:val="00F57691"/>
    <w:rsid w:val="00F64AAE"/>
    <w:rsid w:val="00F70658"/>
    <w:rsid w:val="00F83DBB"/>
    <w:rsid w:val="00F8565F"/>
    <w:rsid w:val="00FA3706"/>
    <w:rsid w:val="00FB411E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2140"/>
    <w:rPr>
      <w:b/>
      <w:bCs/>
    </w:rPr>
  </w:style>
  <w:style w:type="paragraph" w:styleId="Akapitzlist">
    <w:name w:val="List Paragraph"/>
    <w:basedOn w:val="Normalny"/>
    <w:link w:val="AkapitzlistZnak"/>
    <w:qFormat/>
    <w:rsid w:val="002E214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E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14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E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14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41">
    <w:name w:val="Lista 41"/>
    <w:basedOn w:val="Normalny"/>
    <w:rsid w:val="002E2140"/>
    <w:pPr>
      <w:widowControl w:val="0"/>
      <w:suppressAutoHyphens/>
      <w:spacing w:line="100" w:lineRule="atLeast"/>
      <w:ind w:left="1132" w:hanging="283"/>
    </w:pPr>
    <w:rPr>
      <w:rFonts w:eastAsia="Calibri"/>
      <w:kern w:val="2"/>
      <w:lang w:eastAsia="ar-SA"/>
    </w:rPr>
  </w:style>
  <w:style w:type="paragraph" w:customStyle="1" w:styleId="Standardowy0">
    <w:name w:val="Sta     ndardowy"/>
    <w:basedOn w:val="Normalny"/>
    <w:rsid w:val="00C13E83"/>
    <w:pPr>
      <w:suppressAutoHyphens/>
    </w:pPr>
    <w:rPr>
      <w:rFonts w:ascii="Times New Roman" w:eastAsia="Lucida Sans Unicode" w:hAnsi="Times New Roman"/>
      <w:b/>
      <w:color w:val="000000"/>
      <w:sz w:val="32"/>
      <w:szCs w:val="24"/>
    </w:rPr>
  </w:style>
  <w:style w:type="character" w:customStyle="1" w:styleId="AkapitzlistZnak">
    <w:name w:val="Akapit z listą Znak"/>
    <w:link w:val="Akapitzlist"/>
    <w:qFormat/>
    <w:locked/>
    <w:rsid w:val="00366AB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366AB1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47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6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27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4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4C3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ormalnyWeb">
    <w:name w:val="Normal (Web)"/>
    <w:basedOn w:val="Normalny"/>
    <w:rsid w:val="00815383"/>
    <w:pPr>
      <w:widowControl w:val="0"/>
      <w:suppressAutoHyphens/>
      <w:autoSpaceDN w:val="0"/>
      <w:spacing w:before="280" w:after="119"/>
      <w:textAlignment w:val="baseline"/>
    </w:pPr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Nagwek1">
    <w:name w:val="Nagłówek #1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Nagwek2">
    <w:name w:val="Nagłówek #2_"/>
    <w:basedOn w:val="Domylnaczcionkaakapitu"/>
    <w:rsid w:val="008153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F783-8976-4D5C-93D9-496466CD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7</cp:revision>
  <cp:lastPrinted>2017-10-30T09:42:00Z</cp:lastPrinted>
  <dcterms:created xsi:type="dcterms:W3CDTF">2017-10-31T13:35:00Z</dcterms:created>
  <dcterms:modified xsi:type="dcterms:W3CDTF">2017-11-03T11:05:00Z</dcterms:modified>
</cp:coreProperties>
</file>