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1B3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B3E0E">
              <w:rPr>
                <w:rFonts w:ascii="Arial" w:hAnsi="Arial" w:cs="Arial"/>
                <w:sz w:val="22"/>
                <w:szCs w:val="22"/>
              </w:rPr>
              <w:t>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1B3E0E" w:rsidRDefault="001B3E0E" w:rsidP="009A2795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B3E0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1B3E0E">
              <w:rPr>
                <w:rFonts w:ascii="Arial" w:hAnsi="Arial" w:cs="Arial"/>
                <w:sz w:val="22"/>
                <w:szCs w:val="22"/>
              </w:rPr>
              <w:t>Sosna szt. 4,  Dąb szt. 7, Grusza szt. 2, Brzoza szt. 1, z nieruchomości przy ul. Krakowska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B3E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GKOŚ-II.6131.1.1</w:t>
            </w:r>
            <w:r w:rsidR="001B3E0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B05DDF" w:rsidRDefault="001B3E0E" w:rsidP="000F1456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Osoby fizyczne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1B3E0E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173306" w:rsidRDefault="0072549F" w:rsidP="00520F8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Osoby fizyczne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72549F" w:rsidP="00725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254</cp:revision>
  <dcterms:created xsi:type="dcterms:W3CDTF">2017-07-27T12:43:00Z</dcterms:created>
  <dcterms:modified xsi:type="dcterms:W3CDTF">2023-04-04T12:55:00Z</dcterms:modified>
</cp:coreProperties>
</file>