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60" w:rsidRPr="00183615" w:rsidRDefault="000C7260" w:rsidP="008C2487">
      <w:pPr>
        <w:shd w:val="clear" w:color="auto" w:fill="FFFFFF"/>
        <w:spacing w:after="0" w:line="276" w:lineRule="auto"/>
        <w:ind w:right="-34"/>
        <w:jc w:val="center"/>
        <w:rPr>
          <w:rFonts w:eastAsia="Calibri"/>
          <w:b/>
          <w:i/>
          <w:sz w:val="24"/>
          <w:szCs w:val="24"/>
        </w:rPr>
      </w:pPr>
      <w:r w:rsidRPr="00183615">
        <w:rPr>
          <w:rFonts w:eastAsia="Calibri"/>
          <w:b/>
          <w:i/>
          <w:spacing w:val="1"/>
          <w:sz w:val="24"/>
          <w:szCs w:val="24"/>
        </w:rPr>
        <w:t>SZCZEGÓŁOWY OP</w:t>
      </w:r>
      <w:r w:rsidRPr="00183615">
        <w:rPr>
          <w:rFonts w:eastAsia="Calibri"/>
          <w:b/>
          <w:i/>
          <w:spacing w:val="-1"/>
          <w:sz w:val="24"/>
          <w:szCs w:val="24"/>
        </w:rPr>
        <w:t>I</w:t>
      </w:r>
      <w:r w:rsidRPr="00183615">
        <w:rPr>
          <w:rFonts w:eastAsia="Calibri"/>
          <w:b/>
          <w:i/>
          <w:sz w:val="24"/>
          <w:szCs w:val="24"/>
        </w:rPr>
        <w:t>S  PRZ</w:t>
      </w:r>
      <w:r w:rsidRPr="00183615">
        <w:rPr>
          <w:rFonts w:eastAsia="Calibri"/>
          <w:b/>
          <w:i/>
          <w:spacing w:val="-1"/>
          <w:sz w:val="24"/>
          <w:szCs w:val="24"/>
        </w:rPr>
        <w:t>E</w:t>
      </w:r>
      <w:r w:rsidRPr="00183615">
        <w:rPr>
          <w:rFonts w:eastAsia="Calibri"/>
          <w:b/>
          <w:i/>
          <w:sz w:val="24"/>
          <w:szCs w:val="24"/>
        </w:rPr>
        <w:t>DM</w:t>
      </w:r>
      <w:r w:rsidRPr="00183615">
        <w:rPr>
          <w:rFonts w:eastAsia="Calibri"/>
          <w:b/>
          <w:i/>
          <w:spacing w:val="-1"/>
          <w:sz w:val="24"/>
          <w:szCs w:val="24"/>
        </w:rPr>
        <w:t>I</w:t>
      </w:r>
      <w:r w:rsidRPr="00183615">
        <w:rPr>
          <w:rFonts w:eastAsia="Calibri"/>
          <w:b/>
          <w:i/>
          <w:sz w:val="24"/>
          <w:szCs w:val="24"/>
        </w:rPr>
        <w:t>OTU ZAMÓWIENIA</w:t>
      </w:r>
    </w:p>
    <w:p w:rsidR="000C7260" w:rsidRPr="00183615" w:rsidRDefault="000C7260" w:rsidP="008C2487">
      <w:pPr>
        <w:shd w:val="clear" w:color="auto" w:fill="FFFFFF"/>
        <w:spacing w:after="0" w:line="276" w:lineRule="auto"/>
        <w:ind w:right="-34"/>
        <w:jc w:val="center"/>
        <w:rPr>
          <w:rFonts w:eastAsia="Calibri"/>
          <w:b/>
          <w:sz w:val="24"/>
          <w:szCs w:val="24"/>
        </w:rPr>
      </w:pPr>
    </w:p>
    <w:p w:rsidR="000C7260" w:rsidRPr="00183615" w:rsidRDefault="000C7260" w:rsidP="008C2487">
      <w:pPr>
        <w:spacing w:after="0" w:line="276" w:lineRule="auto"/>
        <w:jc w:val="center"/>
        <w:rPr>
          <w:rFonts w:cstheme="minorHAnsi"/>
          <w:b/>
          <w:bCs/>
          <w:sz w:val="32"/>
          <w:szCs w:val="32"/>
        </w:rPr>
      </w:pPr>
      <w:r w:rsidRPr="00183615">
        <w:rPr>
          <w:rFonts w:cstheme="minorHAnsi"/>
          <w:b/>
          <w:bCs/>
          <w:sz w:val="32"/>
          <w:szCs w:val="32"/>
        </w:rPr>
        <w:t>OPRACOWANIE PLANU ZRÓWNOWAŻONEJ MOBILNOŚCI MIEJSKIEJ (SUMP, Plan)MIEJSKIEGO OBSZARU FUNKCJONALNEGO MIASTA PÓŁNOCY NA PODSTAWIE  POROZUMIENIA MIĘDZYGMINNEGO.</w:t>
      </w:r>
    </w:p>
    <w:sdt>
      <w:sdtPr>
        <w:rPr>
          <w:rFonts w:asciiTheme="minorHAnsi" w:eastAsiaTheme="minorHAnsi" w:hAnsiTheme="minorHAnsi" w:cstheme="minorBidi"/>
          <w:color w:val="auto"/>
          <w:sz w:val="22"/>
          <w:szCs w:val="22"/>
          <w:highlight w:val="yellow"/>
          <w:lang w:eastAsia="en-US"/>
        </w:rPr>
        <w:id w:val="1909103687"/>
        <w:docPartObj>
          <w:docPartGallery w:val="Table of Contents"/>
          <w:docPartUnique/>
        </w:docPartObj>
      </w:sdtPr>
      <w:sdtEndPr>
        <w:rPr>
          <w:b/>
          <w:bCs/>
        </w:rPr>
      </w:sdtEndPr>
      <w:sdtContent>
        <w:p w:rsidR="000C7260" w:rsidRPr="00A77B52" w:rsidRDefault="000C7260" w:rsidP="008C2487">
          <w:pPr>
            <w:pStyle w:val="Nagwekspisutreci"/>
            <w:spacing w:before="0" w:line="276" w:lineRule="auto"/>
            <w:rPr>
              <w:highlight w:val="yellow"/>
            </w:rPr>
          </w:pPr>
        </w:p>
        <w:p w:rsidR="00D224A3" w:rsidRDefault="00105815" w:rsidP="008C2487">
          <w:pPr>
            <w:pStyle w:val="Spistreci1"/>
            <w:tabs>
              <w:tab w:val="right" w:leader="dot" w:pos="9062"/>
            </w:tabs>
            <w:spacing w:after="0" w:line="276" w:lineRule="auto"/>
            <w:rPr>
              <w:rFonts w:eastAsiaTheme="minorEastAsia"/>
              <w:noProof/>
              <w:lang w:eastAsia="pl-PL"/>
            </w:rPr>
          </w:pPr>
          <w:r w:rsidRPr="00105815">
            <w:rPr>
              <w:highlight w:val="yellow"/>
            </w:rPr>
            <w:fldChar w:fldCharType="begin"/>
          </w:r>
          <w:r w:rsidR="000C7260" w:rsidRPr="00A77B52">
            <w:rPr>
              <w:highlight w:val="yellow"/>
            </w:rPr>
            <w:instrText xml:space="preserve"> TOC \o "1-3" \h \z \u </w:instrText>
          </w:r>
          <w:r w:rsidRPr="00105815">
            <w:rPr>
              <w:highlight w:val="yellow"/>
            </w:rPr>
            <w:fldChar w:fldCharType="separate"/>
          </w:r>
          <w:hyperlink w:anchor="_Toc91682659" w:history="1">
            <w:r w:rsidR="00D224A3" w:rsidRPr="00AE721B">
              <w:rPr>
                <w:rStyle w:val="Hipercze"/>
                <w:noProof/>
              </w:rPr>
              <w:t>Opis Przedmiotu Zamówienia</w:t>
            </w:r>
            <w:r w:rsidR="00D224A3">
              <w:rPr>
                <w:noProof/>
                <w:webHidden/>
              </w:rPr>
              <w:tab/>
            </w:r>
            <w:r w:rsidR="00D224A3">
              <w:rPr>
                <w:noProof/>
                <w:webHidden/>
              </w:rPr>
              <w:fldChar w:fldCharType="begin"/>
            </w:r>
            <w:r w:rsidR="00D224A3">
              <w:rPr>
                <w:noProof/>
                <w:webHidden/>
              </w:rPr>
              <w:instrText xml:space="preserve"> PAGEREF _Toc91682659 \h </w:instrText>
            </w:r>
            <w:r w:rsidR="00D224A3">
              <w:rPr>
                <w:noProof/>
                <w:webHidden/>
              </w:rPr>
            </w:r>
            <w:r w:rsidR="00D224A3">
              <w:rPr>
                <w:noProof/>
                <w:webHidden/>
              </w:rPr>
              <w:fldChar w:fldCharType="separate"/>
            </w:r>
            <w:r w:rsidR="00D224A3">
              <w:rPr>
                <w:noProof/>
                <w:webHidden/>
              </w:rPr>
              <w:t>1</w:t>
            </w:r>
            <w:r w:rsidR="00D224A3">
              <w:rPr>
                <w:noProof/>
                <w:webHidden/>
              </w:rPr>
              <w:fldChar w:fldCharType="end"/>
            </w:r>
          </w:hyperlink>
        </w:p>
        <w:p w:rsidR="00D224A3" w:rsidRDefault="00D224A3" w:rsidP="008C2487">
          <w:pPr>
            <w:pStyle w:val="Spistreci2"/>
            <w:tabs>
              <w:tab w:val="left" w:pos="660"/>
              <w:tab w:val="right" w:leader="dot" w:pos="9062"/>
            </w:tabs>
            <w:spacing w:after="0" w:line="276" w:lineRule="auto"/>
            <w:rPr>
              <w:rFonts w:eastAsiaTheme="minorEastAsia"/>
              <w:noProof/>
              <w:lang w:eastAsia="pl-PL"/>
            </w:rPr>
          </w:pPr>
          <w:hyperlink w:anchor="_Toc91682660" w:history="1">
            <w:r w:rsidRPr="00AE721B">
              <w:rPr>
                <w:rStyle w:val="Hipercze"/>
                <w:noProof/>
              </w:rPr>
              <w:t>1.</w:t>
            </w:r>
            <w:r>
              <w:rPr>
                <w:rFonts w:eastAsiaTheme="minorEastAsia"/>
                <w:noProof/>
                <w:lang w:eastAsia="pl-PL"/>
              </w:rPr>
              <w:tab/>
            </w:r>
            <w:r w:rsidRPr="00AE721B">
              <w:rPr>
                <w:rStyle w:val="Hipercze"/>
                <w:noProof/>
              </w:rPr>
              <w:t>Merytoryczne zasady realizacji zamówienia</w:t>
            </w:r>
            <w:r>
              <w:rPr>
                <w:noProof/>
                <w:webHidden/>
              </w:rPr>
              <w:tab/>
            </w:r>
            <w:r>
              <w:rPr>
                <w:noProof/>
                <w:webHidden/>
              </w:rPr>
              <w:fldChar w:fldCharType="begin"/>
            </w:r>
            <w:r>
              <w:rPr>
                <w:noProof/>
                <w:webHidden/>
              </w:rPr>
              <w:instrText xml:space="preserve"> PAGEREF _Toc91682660 \h </w:instrText>
            </w:r>
            <w:r>
              <w:rPr>
                <w:noProof/>
                <w:webHidden/>
              </w:rPr>
            </w:r>
            <w:r>
              <w:rPr>
                <w:noProof/>
                <w:webHidden/>
              </w:rPr>
              <w:fldChar w:fldCharType="separate"/>
            </w:r>
            <w:r>
              <w:rPr>
                <w:noProof/>
                <w:webHidden/>
              </w:rPr>
              <w:t>2</w:t>
            </w:r>
            <w:r>
              <w:rPr>
                <w:noProof/>
                <w:webHidden/>
              </w:rPr>
              <w:fldChar w:fldCharType="end"/>
            </w:r>
          </w:hyperlink>
        </w:p>
        <w:p w:rsidR="00D224A3" w:rsidRDefault="00D224A3" w:rsidP="008C2487">
          <w:pPr>
            <w:pStyle w:val="Spistreci2"/>
            <w:tabs>
              <w:tab w:val="left" w:pos="660"/>
              <w:tab w:val="right" w:leader="dot" w:pos="9062"/>
            </w:tabs>
            <w:spacing w:after="0" w:line="276" w:lineRule="auto"/>
            <w:rPr>
              <w:rFonts w:eastAsiaTheme="minorEastAsia"/>
              <w:noProof/>
              <w:lang w:eastAsia="pl-PL"/>
            </w:rPr>
          </w:pPr>
          <w:hyperlink w:anchor="_Toc91682661" w:history="1">
            <w:r w:rsidRPr="00AE721B">
              <w:rPr>
                <w:rStyle w:val="Hipercze"/>
                <w:noProof/>
              </w:rPr>
              <w:t>2.</w:t>
            </w:r>
            <w:r>
              <w:rPr>
                <w:rFonts w:eastAsiaTheme="minorEastAsia"/>
                <w:noProof/>
                <w:lang w:eastAsia="pl-PL"/>
              </w:rPr>
              <w:tab/>
            </w:r>
            <w:r w:rsidRPr="00AE721B">
              <w:rPr>
                <w:rStyle w:val="Hipercze"/>
                <w:noProof/>
              </w:rPr>
              <w:t>Organizacyjne zasady realizacji zamówienia</w:t>
            </w:r>
            <w:r>
              <w:rPr>
                <w:noProof/>
                <w:webHidden/>
              </w:rPr>
              <w:tab/>
            </w:r>
            <w:r>
              <w:rPr>
                <w:noProof/>
                <w:webHidden/>
              </w:rPr>
              <w:fldChar w:fldCharType="begin"/>
            </w:r>
            <w:r>
              <w:rPr>
                <w:noProof/>
                <w:webHidden/>
              </w:rPr>
              <w:instrText xml:space="preserve"> PAGEREF _Toc91682661 \h </w:instrText>
            </w:r>
            <w:r>
              <w:rPr>
                <w:noProof/>
                <w:webHidden/>
              </w:rPr>
            </w:r>
            <w:r>
              <w:rPr>
                <w:noProof/>
                <w:webHidden/>
              </w:rPr>
              <w:fldChar w:fldCharType="separate"/>
            </w:r>
            <w:r>
              <w:rPr>
                <w:noProof/>
                <w:webHidden/>
              </w:rPr>
              <w:t>4</w:t>
            </w:r>
            <w:r>
              <w:rPr>
                <w:noProof/>
                <w:webHidden/>
              </w:rPr>
              <w:fldChar w:fldCharType="end"/>
            </w:r>
          </w:hyperlink>
        </w:p>
        <w:p w:rsidR="00D224A3" w:rsidRDefault="00D224A3" w:rsidP="008C2487">
          <w:pPr>
            <w:pStyle w:val="Spistreci2"/>
            <w:tabs>
              <w:tab w:val="left" w:pos="660"/>
              <w:tab w:val="right" w:leader="dot" w:pos="9062"/>
            </w:tabs>
            <w:spacing w:after="0" w:line="276" w:lineRule="auto"/>
            <w:rPr>
              <w:rFonts w:eastAsiaTheme="minorEastAsia"/>
              <w:noProof/>
              <w:lang w:eastAsia="pl-PL"/>
            </w:rPr>
          </w:pPr>
          <w:hyperlink w:anchor="_Toc91682662" w:history="1">
            <w:r w:rsidRPr="00AE721B">
              <w:rPr>
                <w:rStyle w:val="Hipercze"/>
                <w:noProof/>
              </w:rPr>
              <w:t>3.</w:t>
            </w:r>
            <w:r>
              <w:rPr>
                <w:rFonts w:eastAsiaTheme="minorEastAsia"/>
                <w:noProof/>
                <w:lang w:eastAsia="pl-PL"/>
              </w:rPr>
              <w:tab/>
            </w:r>
            <w:r w:rsidRPr="00AE721B">
              <w:rPr>
                <w:rStyle w:val="Hipercze"/>
                <w:noProof/>
              </w:rPr>
              <w:t>Zakres merytoryczny zamówienia</w:t>
            </w:r>
            <w:r>
              <w:rPr>
                <w:noProof/>
                <w:webHidden/>
              </w:rPr>
              <w:tab/>
            </w:r>
            <w:r>
              <w:rPr>
                <w:noProof/>
                <w:webHidden/>
              </w:rPr>
              <w:fldChar w:fldCharType="begin"/>
            </w:r>
            <w:r>
              <w:rPr>
                <w:noProof/>
                <w:webHidden/>
              </w:rPr>
              <w:instrText xml:space="preserve"> PAGEREF _Toc91682662 \h </w:instrText>
            </w:r>
            <w:r>
              <w:rPr>
                <w:noProof/>
                <w:webHidden/>
              </w:rPr>
            </w:r>
            <w:r>
              <w:rPr>
                <w:noProof/>
                <w:webHidden/>
              </w:rPr>
              <w:fldChar w:fldCharType="separate"/>
            </w:r>
            <w:r>
              <w:rPr>
                <w:noProof/>
                <w:webHidden/>
              </w:rPr>
              <w:t>4</w:t>
            </w:r>
            <w:r>
              <w:rPr>
                <w:noProof/>
                <w:webHidden/>
              </w:rPr>
              <w:fldChar w:fldCharType="end"/>
            </w:r>
          </w:hyperlink>
        </w:p>
        <w:p w:rsidR="00D224A3" w:rsidRDefault="00D224A3" w:rsidP="008C2487">
          <w:pPr>
            <w:pStyle w:val="Spistreci2"/>
            <w:tabs>
              <w:tab w:val="left" w:pos="660"/>
              <w:tab w:val="right" w:leader="dot" w:pos="9062"/>
            </w:tabs>
            <w:spacing w:after="0" w:line="276" w:lineRule="auto"/>
            <w:rPr>
              <w:rFonts w:eastAsiaTheme="minorEastAsia"/>
              <w:noProof/>
              <w:lang w:eastAsia="pl-PL"/>
            </w:rPr>
          </w:pPr>
          <w:hyperlink w:anchor="_Toc91682663" w:history="1">
            <w:r w:rsidRPr="00AE721B">
              <w:rPr>
                <w:rStyle w:val="Hipercze"/>
                <w:noProof/>
              </w:rPr>
              <w:t>4.</w:t>
            </w:r>
            <w:r>
              <w:rPr>
                <w:rFonts w:eastAsiaTheme="minorEastAsia"/>
                <w:noProof/>
                <w:lang w:eastAsia="pl-PL"/>
              </w:rPr>
              <w:tab/>
            </w:r>
            <w:r w:rsidRPr="00AE721B">
              <w:rPr>
                <w:rStyle w:val="Hipercze"/>
                <w:noProof/>
              </w:rPr>
              <w:t>Promocja</w:t>
            </w:r>
            <w:r>
              <w:rPr>
                <w:noProof/>
                <w:webHidden/>
              </w:rPr>
              <w:tab/>
            </w:r>
            <w:r>
              <w:rPr>
                <w:noProof/>
                <w:webHidden/>
              </w:rPr>
              <w:fldChar w:fldCharType="begin"/>
            </w:r>
            <w:r>
              <w:rPr>
                <w:noProof/>
                <w:webHidden/>
              </w:rPr>
              <w:instrText xml:space="preserve"> PAGEREF _Toc91682663 \h </w:instrText>
            </w:r>
            <w:r>
              <w:rPr>
                <w:noProof/>
                <w:webHidden/>
              </w:rPr>
            </w:r>
            <w:r>
              <w:rPr>
                <w:noProof/>
                <w:webHidden/>
              </w:rPr>
              <w:fldChar w:fldCharType="separate"/>
            </w:r>
            <w:r>
              <w:rPr>
                <w:noProof/>
                <w:webHidden/>
              </w:rPr>
              <w:t>6</w:t>
            </w:r>
            <w:r>
              <w:rPr>
                <w:noProof/>
                <w:webHidden/>
              </w:rPr>
              <w:fldChar w:fldCharType="end"/>
            </w:r>
          </w:hyperlink>
        </w:p>
        <w:p w:rsidR="000C7260" w:rsidRPr="00A77B52" w:rsidRDefault="00105815" w:rsidP="008C2487">
          <w:pPr>
            <w:spacing w:after="0" w:line="276" w:lineRule="auto"/>
            <w:rPr>
              <w:b/>
              <w:bCs/>
              <w:highlight w:val="yellow"/>
            </w:rPr>
          </w:pPr>
          <w:r w:rsidRPr="00A77B52">
            <w:rPr>
              <w:b/>
              <w:bCs/>
              <w:highlight w:val="yellow"/>
            </w:rPr>
            <w:fldChar w:fldCharType="end"/>
          </w:r>
        </w:p>
      </w:sdtContent>
    </w:sdt>
    <w:p w:rsidR="000C7260" w:rsidRPr="00F07312" w:rsidRDefault="000C7260" w:rsidP="008C2487">
      <w:pPr>
        <w:pStyle w:val="Nagwek1"/>
        <w:numPr>
          <w:ilvl w:val="0"/>
          <w:numId w:val="0"/>
        </w:numPr>
        <w:spacing w:before="0" w:after="0" w:line="276" w:lineRule="auto"/>
        <w:ind w:left="357"/>
        <w:rPr>
          <w:color w:val="auto"/>
        </w:rPr>
      </w:pPr>
      <w:bookmarkStart w:id="0" w:name="_Ref43548859"/>
      <w:bookmarkStart w:id="1" w:name="_Toc91682659"/>
      <w:r w:rsidRPr="00F07312">
        <w:rPr>
          <w:color w:val="auto"/>
        </w:rPr>
        <w:t>Opis Przedmiotu Zamówienia</w:t>
      </w:r>
      <w:bookmarkEnd w:id="0"/>
      <w:bookmarkEnd w:id="1"/>
    </w:p>
    <w:p w:rsidR="000C7260" w:rsidRPr="0018576C" w:rsidRDefault="000C7260" w:rsidP="008C2487">
      <w:pPr>
        <w:spacing w:after="0" w:line="276" w:lineRule="auto"/>
        <w:jc w:val="both"/>
        <w:rPr>
          <w:rFonts w:eastAsia="Calibri"/>
          <w:b/>
        </w:rPr>
      </w:pPr>
      <w:r w:rsidRPr="0018576C">
        <w:rPr>
          <w:rFonts w:eastAsia="Calibri"/>
          <w:position w:val="1"/>
        </w:rPr>
        <w:t>W ramach wspólnego</w:t>
      </w:r>
      <w:r w:rsidRPr="0018576C">
        <w:t xml:space="preserve"> Porozumienia Międzygminnego z dnia 24.05.2021r MOF Miasta Północy 17 </w:t>
      </w:r>
      <w:r w:rsidRPr="0018576C">
        <w:rPr>
          <w:rFonts w:eastAsia="Calibri"/>
          <w:position w:val="1"/>
        </w:rPr>
        <w:t>samorządów</w:t>
      </w:r>
      <w:r w:rsidRPr="0018576C">
        <w:t xml:space="preserve"> Gmina Skarżysko – Kamienna </w:t>
      </w:r>
      <w:r w:rsidRPr="0018576C">
        <w:rPr>
          <w:lang w:eastAsia="pl-PL"/>
        </w:rPr>
        <w:t xml:space="preserve">Gmina Ostrowiec Świętokrzyski, Gmina Ćmielów, Gmina Bałtów, Gmina Bodzechów, Gmina Waśniów, Gmina Kunów, Gmina Starachowice, Gmina Brody, Gmina Pawłów, Gmina Wąchock, Gmina Mirzec, Gmina Skarżysko Kościelne, Gmina Bliżyn, Gmina Suchedniów, Gmina Końskie </w:t>
      </w:r>
      <w:r w:rsidRPr="0018576C">
        <w:rPr>
          <w:i/>
          <w:color w:val="000000"/>
          <w:lang w:eastAsia="pl-PL"/>
        </w:rPr>
        <w:t xml:space="preserve">, </w:t>
      </w:r>
      <w:r w:rsidRPr="0018576C">
        <w:rPr>
          <w:color w:val="000000"/>
          <w:lang w:eastAsia="pl-PL"/>
        </w:rPr>
        <w:t>Gmina Stąporków</w:t>
      </w:r>
      <w:r w:rsidRPr="0018576C">
        <w:rPr>
          <w:rFonts w:eastAsia="Calibri"/>
          <w:position w:val="1"/>
        </w:rPr>
        <w:t xml:space="preserve"> zobowiązały się do opracowania dokumentu strategicznego określającego wzajemne powiązania i komplementarne cele, kierunki rozwoju i zasady współpracy jako miasta i obszary tracące swoje dotychczasowe funkcje społeczno-gospodarcze tj. </w:t>
      </w:r>
      <w:r w:rsidRPr="0018576C">
        <w:rPr>
          <w:rFonts w:cstheme="minorHAnsi"/>
          <w:bCs/>
        </w:rPr>
        <w:t xml:space="preserve"> Planu Zrównoważonej Mobilności Miejskiej (SUMP, Plan)</w:t>
      </w:r>
      <w:r w:rsidRPr="0018576C">
        <w:rPr>
          <w:rFonts w:eastAsia="Calibri"/>
          <w:position w:val="1"/>
        </w:rPr>
        <w:t xml:space="preserve">. </w:t>
      </w:r>
    </w:p>
    <w:p w:rsidR="000C7260" w:rsidRPr="0018576C" w:rsidRDefault="000C7260" w:rsidP="008C2487">
      <w:pPr>
        <w:spacing w:after="0" w:line="276" w:lineRule="auto"/>
        <w:jc w:val="both"/>
        <w:rPr>
          <w:rFonts w:eastAsia="Calibri"/>
          <w:b/>
        </w:rPr>
      </w:pPr>
      <w:r w:rsidRPr="0018576C">
        <w:rPr>
          <w:rFonts w:eastAsia="Calibri"/>
        </w:rPr>
        <w:t>Obszar Funkcjonalny w odniesieniu do dokumentów krajowych i szczebla wojewódzkiego</w:t>
      </w:r>
      <w:r w:rsidRPr="0018576C">
        <w:rPr>
          <w:rFonts w:eastAsia="Calibri"/>
          <w:b/>
        </w:rPr>
        <w:t xml:space="preserve">.  </w:t>
      </w:r>
      <w:r w:rsidRPr="0018576C">
        <w:rPr>
          <w:bCs/>
          <w:lang w:eastAsia="pl-PL"/>
        </w:rPr>
        <w:t>W dniu 29 marca 2021 roku Sejmik Województwa Świętokrzyskiego podjął Uchwałę Nr XXX/406/21 w sprawie przyjęcia </w:t>
      </w:r>
      <w:r w:rsidRPr="0018576C">
        <w:rPr>
          <w:bCs/>
          <w:i/>
          <w:iCs/>
          <w:lang w:eastAsia="pl-PL"/>
        </w:rPr>
        <w:t>Strategii Rozwoju Województwa Świętokrzyskiego 2030+</w:t>
      </w:r>
      <w:r w:rsidRPr="0018576C">
        <w:rPr>
          <w:bCs/>
          <w:lang w:eastAsia="pl-PL"/>
        </w:rPr>
        <w:t>. To dokument samorządu województwa określający obszary, cele i kierunki polityki rozwoju regionu, stanowiący punkt wyjścia do przygotowania pozostałych regionalnych dokumentów strategicznych i operacyjnych</w:t>
      </w:r>
      <w:r w:rsidRPr="0018576C">
        <w:rPr>
          <w:b/>
          <w:bCs/>
          <w:lang w:eastAsia="pl-PL"/>
        </w:rPr>
        <w:t>.</w:t>
      </w:r>
      <w:r w:rsidRPr="0018576C">
        <w:rPr>
          <w:rFonts w:eastAsia="Calibri"/>
          <w:b/>
        </w:rPr>
        <w:t xml:space="preserve"> </w:t>
      </w:r>
      <w:r w:rsidRPr="0018576C">
        <w:rPr>
          <w:rStyle w:val="markedcontent"/>
        </w:rPr>
        <w:t xml:space="preserve">Zgodnie z KSRR 2030, wsparcie w przypadku miast średnich tracących funkcje społeczno-gospodarcze może być adresowane także do obszarów powiązanych z nimi funkcjonalnie (miejskich obszarów funkcjonalnych, MOF). W Strategii wskazano priorytetowy obszar polityki regionalnej, jakim są cztery miasta średnie (spośród wymienionych w KSRR 2030) położone w północnej części województwa (Ostrowiec Świętokrzyski, Starachowice, Skarżysko-Kamienna i Końskie). Miasta oraz gminy sąsiednie podpisały porozumienie w sprawie utworzenia wspólnego MOF </w:t>
      </w:r>
      <w:r w:rsidRPr="0018576C">
        <w:rPr>
          <w:rStyle w:val="highlight"/>
        </w:rPr>
        <w:t>Miasta Północy</w:t>
      </w:r>
      <w:r w:rsidRPr="0018576C">
        <w:rPr>
          <w:rStyle w:val="markedcontent"/>
        </w:rPr>
        <w:t xml:space="preserve">. Zakres </w:t>
      </w:r>
      <w:r w:rsidRPr="0018576C">
        <w:t xml:space="preserve"> </w:t>
      </w:r>
      <w:r w:rsidRPr="0018576C">
        <w:rPr>
          <w:rStyle w:val="markedcontent"/>
        </w:rPr>
        <w:t xml:space="preserve">obszarów funkcjonalnych miast średnich wyznaczono z uwzględnieniem „Propozycji delimitacji </w:t>
      </w:r>
      <w:r w:rsidRPr="0018576C">
        <w:t xml:space="preserve"> </w:t>
      </w:r>
      <w:r w:rsidRPr="0018576C">
        <w:rPr>
          <w:rStyle w:val="markedcontent"/>
        </w:rPr>
        <w:t xml:space="preserve">obszarów funkcjonalnych miast tracących funkcje społeczno-gospodarcze w województwie </w:t>
      </w:r>
      <w:r w:rsidRPr="0018576C">
        <w:t xml:space="preserve"> </w:t>
      </w:r>
      <w:r w:rsidRPr="0018576C">
        <w:rPr>
          <w:rStyle w:val="markedcontent"/>
        </w:rPr>
        <w:t xml:space="preserve">świętokrzyskim”, opracowanej przez Zespół Planowania Przestrzennego Województwa </w:t>
      </w:r>
      <w:r w:rsidRPr="0018576C">
        <w:t xml:space="preserve"> </w:t>
      </w:r>
      <w:r w:rsidRPr="0018576C">
        <w:rPr>
          <w:rStyle w:val="markedcontent"/>
        </w:rPr>
        <w:t>Świętokrzyskiego Biura Rozwoju Regionalnego.</w:t>
      </w:r>
      <w:r w:rsidRPr="0018576C">
        <w:rPr>
          <w:rStyle w:val="markedcontent"/>
          <w:rFonts w:eastAsia="Calibri"/>
          <w:b/>
        </w:rPr>
        <w:t xml:space="preserve"> </w:t>
      </w:r>
      <w:r w:rsidRPr="0018576C">
        <w:rPr>
          <w:lang w:eastAsia="pl-PL"/>
        </w:rPr>
        <w:t xml:space="preserve">Obszar funkcjonalny to zwarty układ przestrzenny składający się z funkcjonalnie powiązanych terenów, charakteryzujących się wspólnymi uwarunkowaniami  i przewidywanymi, jednolitymi celami rozwoju. </w:t>
      </w:r>
    </w:p>
    <w:p w:rsidR="000C7260" w:rsidRDefault="000C7260" w:rsidP="008C2487">
      <w:pPr>
        <w:spacing w:after="0" w:line="276" w:lineRule="auto"/>
      </w:pPr>
    </w:p>
    <w:p w:rsidR="009006AC" w:rsidRPr="00F07312" w:rsidRDefault="009006AC" w:rsidP="008C2487">
      <w:pPr>
        <w:spacing w:after="0" w:line="276" w:lineRule="auto"/>
      </w:pPr>
    </w:p>
    <w:p w:rsidR="000C7260" w:rsidRPr="00F07312" w:rsidRDefault="000C7260" w:rsidP="008C2487">
      <w:pPr>
        <w:pStyle w:val="Nagwek2"/>
        <w:numPr>
          <w:ilvl w:val="0"/>
          <w:numId w:val="45"/>
        </w:numPr>
        <w:spacing w:before="0" w:after="0" w:line="276" w:lineRule="auto"/>
        <w:rPr>
          <w:color w:val="auto"/>
        </w:rPr>
      </w:pPr>
      <w:bookmarkStart w:id="2" w:name="_Ref40704848"/>
      <w:bookmarkStart w:id="3" w:name="_Ref43546962"/>
      <w:bookmarkStart w:id="4" w:name="_Toc91682660"/>
      <w:r w:rsidRPr="00F07312">
        <w:rPr>
          <w:color w:val="auto"/>
        </w:rPr>
        <w:lastRenderedPageBreak/>
        <w:t>Merytoryczne zasady realizacji zamówienia</w:t>
      </w:r>
      <w:bookmarkEnd w:id="2"/>
      <w:bookmarkEnd w:id="4"/>
    </w:p>
    <w:p w:rsidR="000C7260" w:rsidRPr="00F07312" w:rsidRDefault="000C7260" w:rsidP="008C2487">
      <w:pPr>
        <w:pStyle w:val="Czarny"/>
        <w:spacing w:after="0"/>
      </w:pPr>
      <w:r w:rsidRPr="00F07312">
        <w:t>Podstawowym celem zamówienia jest przygotowanie Planu Zrównoważonej Mobilności Miejskiej (SUMP, Planu), który będzie zgodny z aktualnym stanem wiedzy i wymogami prawa oraz dopasowany do indywidualnych potrzeb i uwarunkowań Zamawiającego, w tym będzie zawierał wskazane w niniejszym dokumencie Obszary Strategiczne i Rozważane Działania (o ile w toku prac nie okaże się, że wymagają one redefinicji i sposób redefinicji zostanie zaakceptowany przez Zam</w:t>
      </w:r>
      <w:r w:rsidR="00F07312" w:rsidRPr="00F07312">
        <w:t>awiającego)</w:t>
      </w:r>
      <w:r w:rsidRPr="00F07312">
        <w:t>.</w:t>
      </w:r>
    </w:p>
    <w:p w:rsidR="000C7260" w:rsidRPr="00F07312" w:rsidRDefault="000C7260" w:rsidP="008C2487">
      <w:pPr>
        <w:spacing w:after="0" w:line="276" w:lineRule="auto"/>
        <w:jc w:val="both"/>
      </w:pPr>
      <w:r w:rsidRPr="00F07312">
        <w:t>Plan powinien dążyć do obniżania negatywnego wpływu transportu na środowisko, klimat i ludzi, poprzez zwiększanie udziału przyjaznych środowisku środków transportu (transport publiczny, rower, komunikacja piesza) oraz zmniejszanie zapotrzebowania na transport. Wszelkie proponowane działania powinny być oceniane przez pryzmat ich wpływu na środowisko, klimat i ludzi, a także możliwości zaindukowania dodatkowego ruchu drogowego.</w:t>
      </w:r>
    </w:p>
    <w:p w:rsidR="000C7260" w:rsidRPr="00F07312" w:rsidRDefault="000C7260" w:rsidP="008C2487">
      <w:pPr>
        <w:spacing w:after="0" w:line="276" w:lineRule="auto"/>
        <w:jc w:val="both"/>
      </w:pPr>
      <w:r w:rsidRPr="00F07312">
        <w:t>SUMP powinien obejmować kompleksowo wszystkie formy przemieszczania oraz interakcje między transportem i zagospodarowaniem przestrzennym. Plan powinien w sposób kompleksowy uwzględniać kwestie infrastrukturalne, organizacyjne i operacyjne, budując kompleksową logikę zmian – a nie tylko planując rozwój infrastruktury.</w:t>
      </w:r>
    </w:p>
    <w:p w:rsidR="000C7260" w:rsidRPr="00F07312" w:rsidRDefault="000C7260" w:rsidP="008C2487">
      <w:pPr>
        <w:spacing w:after="0" w:line="276" w:lineRule="auto"/>
        <w:jc w:val="both"/>
      </w:pPr>
      <w:r w:rsidRPr="00F07312">
        <w:t xml:space="preserve">Plan powinien zawierać jasne cele strategiczne w perspektywie </w:t>
      </w:r>
      <w:r w:rsidRPr="00F07312">
        <w:rPr>
          <w:rStyle w:val="NiebieskiZnak"/>
          <w:color w:val="auto"/>
        </w:rPr>
        <w:t>15 lat</w:t>
      </w:r>
      <w:r w:rsidRPr="00F07312">
        <w:rPr>
          <w:rStyle w:val="NiebieskiZnak"/>
        </w:rPr>
        <w:t xml:space="preserve"> </w:t>
      </w:r>
      <w:r w:rsidRPr="00F07312">
        <w:t>– specyficzne dla MOF Miasta Północy, ale równocześnie wpisujące się w cele unijnej i krajowej polityki zrównoważonej mobilności, polityki klimatycznej, polityki miejskiej, polityk horyzontalnych i innych.</w:t>
      </w:r>
    </w:p>
    <w:p w:rsidR="000C7260" w:rsidRPr="009A43CF" w:rsidRDefault="000C7260" w:rsidP="008C2487">
      <w:pPr>
        <w:spacing w:after="0" w:line="276" w:lineRule="auto"/>
        <w:jc w:val="both"/>
        <w:rPr>
          <w:color w:val="215868" w:themeColor="accent5" w:themeShade="80"/>
        </w:rPr>
      </w:pPr>
      <w:r w:rsidRPr="009A43CF">
        <w:t xml:space="preserve">Plan powinien wskazywać zakresy i obszary działań modelowych. </w:t>
      </w:r>
    </w:p>
    <w:p w:rsidR="000C7260" w:rsidRPr="009A43CF" w:rsidRDefault="000C7260" w:rsidP="008C2487">
      <w:pPr>
        <w:spacing w:after="0" w:line="276" w:lineRule="auto"/>
        <w:jc w:val="both"/>
      </w:pPr>
      <w:r w:rsidRPr="009A43CF">
        <w:t xml:space="preserve">Plan powinien uwzględniać kwestie projektowania uniwersalnego uwzględniającego wszystkie grupy odbiorców, w tym perspektywę osób z różnego rodzaju </w:t>
      </w:r>
      <w:proofErr w:type="spellStart"/>
      <w:r w:rsidRPr="009A43CF">
        <w:t>niepełnosprawnościami</w:t>
      </w:r>
      <w:proofErr w:type="spellEnd"/>
      <w:r w:rsidRPr="009A43CF">
        <w:t>.</w:t>
      </w:r>
    </w:p>
    <w:p w:rsidR="000C7260" w:rsidRPr="009A43CF" w:rsidRDefault="000C7260" w:rsidP="008C2487">
      <w:pPr>
        <w:spacing w:after="0" w:line="276" w:lineRule="auto"/>
        <w:jc w:val="both"/>
      </w:pPr>
      <w:r w:rsidRPr="009A43CF">
        <w:t>Plan powinien uwzględniać specyfikę wszystkich samorządów objętych obszarem geograficznym.</w:t>
      </w:r>
    </w:p>
    <w:p w:rsidR="000C7260" w:rsidRPr="00AF6105" w:rsidRDefault="000C7260" w:rsidP="008C2487">
      <w:pPr>
        <w:spacing w:after="0" w:line="276" w:lineRule="auto"/>
        <w:jc w:val="both"/>
      </w:pPr>
      <w:r w:rsidRPr="00AF6105">
        <w:t>Plan powinien być napisany zwięźle, z podziałem na rozdziały i akapity, wraz z syntetycznymi ich podsumowaniami oraz mieć atrakcyjną formę wizualną, sprawiającą, że Plan będzie przystępny w odbiorze dla mieszkańca obszaru MOF Miasta Północy zrównoważoną mobilnością.</w:t>
      </w:r>
    </w:p>
    <w:p w:rsidR="000C7260" w:rsidRPr="00AF6105" w:rsidRDefault="000C7260" w:rsidP="008C2487">
      <w:pPr>
        <w:spacing w:after="0" w:line="276" w:lineRule="auto"/>
        <w:jc w:val="both"/>
      </w:pPr>
      <w:r w:rsidRPr="00AF6105">
        <w:t>SUMP powinien być przygotowany z uwzględnieniem procesu analitycznego, w którym rekomendacje poparte są odpowiednią argumentacją, wynikającą z:</w:t>
      </w:r>
    </w:p>
    <w:p w:rsidR="000C7260" w:rsidRPr="00AF6105" w:rsidRDefault="000C7260" w:rsidP="008C2487">
      <w:pPr>
        <w:pStyle w:val="Akapitzlist"/>
        <w:numPr>
          <w:ilvl w:val="0"/>
          <w:numId w:val="30"/>
        </w:numPr>
        <w:spacing w:after="0" w:line="276" w:lineRule="auto"/>
        <w:jc w:val="both"/>
      </w:pPr>
      <w:r w:rsidRPr="00AF6105">
        <w:t>wiedzy eksperckiej, w tym analiz odpowiednich danych statystycznych i dobrych praktyk;</w:t>
      </w:r>
    </w:p>
    <w:p w:rsidR="000C7260" w:rsidRPr="00AF6105" w:rsidRDefault="000C7260" w:rsidP="008C2487">
      <w:pPr>
        <w:pStyle w:val="Akapitzlist"/>
        <w:numPr>
          <w:ilvl w:val="0"/>
          <w:numId w:val="30"/>
        </w:numPr>
        <w:spacing w:after="0" w:line="276" w:lineRule="auto"/>
        <w:jc w:val="both"/>
      </w:pPr>
      <w:r w:rsidRPr="00AF6105">
        <w:t>bieżącej współpracy z Zamawiającym, oraz jego możliwości finansowych i planów strategicznych;</w:t>
      </w:r>
    </w:p>
    <w:p w:rsidR="000C7260" w:rsidRPr="00AF6105" w:rsidRDefault="000C7260" w:rsidP="008C2487">
      <w:pPr>
        <w:pStyle w:val="Akapitzlist"/>
        <w:numPr>
          <w:ilvl w:val="0"/>
          <w:numId w:val="30"/>
        </w:numPr>
        <w:spacing w:after="0" w:line="276" w:lineRule="auto"/>
        <w:jc w:val="both"/>
      </w:pPr>
      <w:r w:rsidRPr="00AF6105">
        <w:t xml:space="preserve">konsultacji społecznych z kluczowymi </w:t>
      </w:r>
      <w:proofErr w:type="spellStart"/>
      <w:r w:rsidRPr="00AF6105">
        <w:t>interesariuszami</w:t>
      </w:r>
      <w:proofErr w:type="spellEnd"/>
      <w:r w:rsidRPr="00AF6105">
        <w:t xml:space="preserve"> przy zastosowaniu odpowiednich metod badawczych na próbach reprezentatywnych typowych użytkowników lub próbach celowych (np. osoby korzystające naprzemiennie z samochodów i transportu publicznego, osoby z niepełnosprawnością itp.);</w:t>
      </w:r>
    </w:p>
    <w:p w:rsidR="000C7260" w:rsidRPr="00AF6105" w:rsidRDefault="000C7260" w:rsidP="008C2487">
      <w:pPr>
        <w:pStyle w:val="Akapitzlist"/>
        <w:numPr>
          <w:ilvl w:val="0"/>
          <w:numId w:val="30"/>
        </w:numPr>
        <w:spacing w:after="0" w:line="276" w:lineRule="auto"/>
        <w:jc w:val="both"/>
      </w:pPr>
      <w:bookmarkStart w:id="5" w:name="_Hlk43562201"/>
      <w:r w:rsidRPr="00AF6105">
        <w:t>analizy efektywności i skuteczności poszczególnych działań, w ramach metodyki wskazanej przez Zamawiającego lub zaproponowanej przez Wykonawcę</w:t>
      </w:r>
      <w:bookmarkEnd w:id="5"/>
      <w:r w:rsidRPr="00AF6105">
        <w:t>.</w:t>
      </w:r>
    </w:p>
    <w:p w:rsidR="000C7260" w:rsidRPr="00AF6105" w:rsidRDefault="000C7260" w:rsidP="008C2487">
      <w:pPr>
        <w:spacing w:after="0" w:line="276" w:lineRule="auto"/>
        <w:jc w:val="both"/>
      </w:pPr>
      <w:r w:rsidRPr="00AF6105">
        <w:rPr>
          <w:b/>
          <w:bCs/>
        </w:rPr>
        <w:t>Niniejszy dokument przedstawia minimum metodyczne, które powinno być przez Wykonawcę rozwinięte.</w:t>
      </w:r>
    </w:p>
    <w:p w:rsidR="000C7260" w:rsidRPr="00AF6105" w:rsidRDefault="000C7260" w:rsidP="008C2487">
      <w:pPr>
        <w:spacing w:after="0" w:line="276" w:lineRule="auto"/>
      </w:pPr>
      <w:r w:rsidRPr="00AF6105">
        <w:t>Plan powinien być co do zasady zgodny z następującymi dokumentami:</w:t>
      </w:r>
    </w:p>
    <w:p w:rsidR="000C7260" w:rsidRPr="00AF6105" w:rsidRDefault="000C7260" w:rsidP="008C2487">
      <w:pPr>
        <w:pStyle w:val="Niebieski"/>
        <w:numPr>
          <w:ilvl w:val="0"/>
          <w:numId w:val="5"/>
        </w:numPr>
        <w:spacing w:after="0"/>
      </w:pPr>
      <w:r w:rsidRPr="00AF6105">
        <w:rPr>
          <w:color w:val="000000" w:themeColor="text1"/>
        </w:rPr>
        <w:t xml:space="preserve">Nowe wytyczne – opracowanie i wdrożenie planu zrównoważonej mobilności miejskiej, 2 wydanie (w języku angielskim) Komisja Europejska, Bruksela 2019 – </w:t>
      </w:r>
      <w:r w:rsidRPr="00AF6105">
        <w:t>(</w:t>
      </w:r>
      <w:hyperlink r:id="rId8" w:history="1">
        <w:r w:rsidRPr="00AF6105">
          <w:rPr>
            <w:rStyle w:val="Hipercze"/>
          </w:rPr>
          <w:t>https://www.eltis.org/sites/default/files/sump-guidelines-2019_mediumres.pdf</w:t>
        </w:r>
      </w:hyperlink>
      <w:r w:rsidRPr="00AF6105">
        <w:t xml:space="preserve">, </w:t>
      </w:r>
      <w:hyperlink r:id="rId9" w:history="1">
        <w:r w:rsidRPr="00AF6105">
          <w:rPr>
            <w:rStyle w:val="Hipercze"/>
          </w:rPr>
          <w:t>https://www.eltis.org/sites/default/files/sump-annex_final_highres_0.pdf</w:t>
        </w:r>
      </w:hyperlink>
      <w:r w:rsidRPr="00AF6105">
        <w:t>)</w:t>
      </w:r>
    </w:p>
    <w:p w:rsidR="000C7260" w:rsidRPr="00AF6105" w:rsidRDefault="000C7260" w:rsidP="008C2487">
      <w:pPr>
        <w:pStyle w:val="Niebieski"/>
        <w:numPr>
          <w:ilvl w:val="0"/>
          <w:numId w:val="5"/>
        </w:numPr>
        <w:spacing w:after="0"/>
        <w:rPr>
          <w:color w:val="auto"/>
        </w:rPr>
      </w:pPr>
      <w:r w:rsidRPr="00AF6105">
        <w:rPr>
          <w:color w:val="auto"/>
        </w:rPr>
        <w:t xml:space="preserve">CIVITAS PROSPERITY – Poradnik – opracowanie Planu Zrównoważonej Mobilności Miejskiej (SUMP) – </w:t>
      </w:r>
      <w:r w:rsidRPr="00AF6105">
        <w:rPr>
          <w:color w:val="auto"/>
        </w:rPr>
        <w:lastRenderedPageBreak/>
        <w:t>(</w:t>
      </w:r>
      <w:hyperlink r:id="rId10" w:history="1">
        <w:r w:rsidRPr="00AF6105">
          <w:rPr>
            <w:rStyle w:val="Hipercze"/>
          </w:rPr>
          <w:t>https://www.pois.gov.pl/media/72913/SMG_Ekspert_Civitas_Prosperity_Poradnik_2019_03_18_podglad_v1.pdf</w:t>
        </w:r>
      </w:hyperlink>
      <w:r w:rsidRPr="00AF6105">
        <w:rPr>
          <w:color w:val="auto"/>
        </w:rPr>
        <w:t>).</w:t>
      </w:r>
    </w:p>
    <w:p w:rsidR="000C7260" w:rsidRPr="00AF6105" w:rsidRDefault="000C7260" w:rsidP="008C2487">
      <w:pPr>
        <w:spacing w:after="0" w:line="276" w:lineRule="auto"/>
      </w:pPr>
      <w:r w:rsidRPr="00AF6105">
        <w:t>Plan powinien co do zasady być spójny z następującymi dokumentami lokalnymi MOF Miasta Północy:</w:t>
      </w:r>
    </w:p>
    <w:p w:rsidR="000C7260" w:rsidRPr="00722D88" w:rsidRDefault="000C7260" w:rsidP="008C2487">
      <w:pPr>
        <w:pStyle w:val="Czarny"/>
        <w:numPr>
          <w:ilvl w:val="0"/>
          <w:numId w:val="20"/>
        </w:numPr>
        <w:spacing w:after="0"/>
      </w:pPr>
      <w:r w:rsidRPr="00722D88">
        <w:t xml:space="preserve">uchwalonymi </w:t>
      </w:r>
      <w:r w:rsidRPr="00722D88">
        <w:rPr>
          <w:rStyle w:val="e24kjd"/>
        </w:rPr>
        <w:t>studiami uwarunkowań i kierunków zagospodarowania przestrzennego;</w:t>
      </w:r>
    </w:p>
    <w:p w:rsidR="000C7260" w:rsidRPr="00722D88" w:rsidRDefault="000C7260" w:rsidP="008C2487">
      <w:pPr>
        <w:pStyle w:val="Czarny"/>
        <w:numPr>
          <w:ilvl w:val="0"/>
          <w:numId w:val="20"/>
        </w:numPr>
        <w:spacing w:after="0"/>
      </w:pPr>
      <w:r w:rsidRPr="00722D88">
        <w:t>uchwalonymi miejscowymi planami zagospodarowania przestrzennego;</w:t>
      </w:r>
    </w:p>
    <w:p w:rsidR="000C7260" w:rsidRPr="00722D88" w:rsidRDefault="00722D88" w:rsidP="008C2487">
      <w:pPr>
        <w:pStyle w:val="Niebieski"/>
        <w:numPr>
          <w:ilvl w:val="0"/>
          <w:numId w:val="20"/>
        </w:numPr>
        <w:spacing w:after="0"/>
        <w:rPr>
          <w:color w:val="auto"/>
        </w:rPr>
      </w:pPr>
      <w:r>
        <w:rPr>
          <w:color w:val="auto"/>
        </w:rPr>
        <w:t xml:space="preserve">opracowywaną </w:t>
      </w:r>
      <w:proofErr w:type="spellStart"/>
      <w:r>
        <w:rPr>
          <w:color w:val="auto"/>
        </w:rPr>
        <w:t>StrategiąTerytorialną</w:t>
      </w:r>
      <w:proofErr w:type="spellEnd"/>
      <w:r w:rsidR="000C7260" w:rsidRPr="00722D88">
        <w:rPr>
          <w:bCs/>
          <w:color w:val="auto"/>
        </w:rPr>
        <w:t xml:space="preserve"> Zintegrowanych Inwestycji Terytorialnych Miejskiego Obszaru Funkcjonalnego Miasta Północy</w:t>
      </w:r>
    </w:p>
    <w:p w:rsidR="000C7260" w:rsidRPr="00722D88" w:rsidRDefault="000C7260" w:rsidP="008C2487">
      <w:pPr>
        <w:spacing w:after="0" w:line="276" w:lineRule="auto"/>
        <w:jc w:val="both"/>
      </w:pPr>
      <w:r w:rsidRPr="00722D88">
        <w:t>W przypadku wystąpienia w tych dokumentach niezgodności z postulowaną polityką zrównoważonej mobilności Zamawiającego – Plan powinien te niezgodności wymieniać oraz jasno wskazywać konieczne zmiany.</w:t>
      </w:r>
    </w:p>
    <w:p w:rsidR="000C7260" w:rsidRPr="00722D88" w:rsidRDefault="000C7260" w:rsidP="008C2487">
      <w:pPr>
        <w:spacing w:after="0" w:line="276" w:lineRule="auto"/>
      </w:pPr>
      <w:r w:rsidRPr="00722D88">
        <w:t>Plan powinien dotyczyć następującego obszaru (zwanego dalej Obszarem SUMP):</w:t>
      </w:r>
    </w:p>
    <w:p w:rsidR="000C7260" w:rsidRPr="00722D88" w:rsidRDefault="000C7260" w:rsidP="008C2487">
      <w:pPr>
        <w:pStyle w:val="Niebieski"/>
        <w:numPr>
          <w:ilvl w:val="0"/>
          <w:numId w:val="20"/>
        </w:numPr>
        <w:spacing w:after="0"/>
        <w:rPr>
          <w:color w:val="auto"/>
        </w:rPr>
      </w:pPr>
      <w:r w:rsidRPr="00722D88">
        <w:rPr>
          <w:bCs/>
          <w:color w:val="auto"/>
        </w:rPr>
        <w:t>Miejski Obszar Funkcjonalnego Miasta Północy został określony w</w:t>
      </w:r>
      <w:r w:rsidRPr="00722D88">
        <w:rPr>
          <w:bCs/>
          <w:i/>
          <w:iCs/>
          <w:color w:val="auto"/>
          <w:lang w:eastAsia="pl-PL"/>
        </w:rPr>
        <w:t xml:space="preserve"> Strategii Rozwoju Województwa Świętokrzyskiego 2030+</w:t>
      </w:r>
      <w:r w:rsidRPr="00722D88">
        <w:rPr>
          <w:bCs/>
          <w:color w:val="auto"/>
          <w:lang w:eastAsia="pl-PL"/>
        </w:rPr>
        <w:t xml:space="preserve"> podjętej  uchwałą Nr XXX/406/21 w dniu 29 marca 2021 roku przez Sejmik Województwa Świętokrzyskiego i obejmuje:</w:t>
      </w:r>
    </w:p>
    <w:p w:rsidR="000C7260" w:rsidRPr="00722D88" w:rsidRDefault="000C7260" w:rsidP="008C2487">
      <w:pPr>
        <w:pStyle w:val="Niebieski"/>
        <w:numPr>
          <w:ilvl w:val="0"/>
          <w:numId w:val="44"/>
        </w:numPr>
        <w:spacing w:after="0"/>
        <w:rPr>
          <w:color w:val="auto"/>
        </w:rPr>
      </w:pPr>
      <w:r w:rsidRPr="00722D88">
        <w:rPr>
          <w:color w:val="auto"/>
        </w:rPr>
        <w:t>miasta rdzeniowe: Końskie, Ostrowiec Świętokrzyski, Skarżysko-Kamienna, Starachowice</w:t>
      </w:r>
    </w:p>
    <w:p w:rsidR="000C7260" w:rsidRPr="00722D88" w:rsidRDefault="000C7260" w:rsidP="008C2487">
      <w:pPr>
        <w:pStyle w:val="Niebieski"/>
        <w:numPr>
          <w:ilvl w:val="0"/>
          <w:numId w:val="44"/>
        </w:numPr>
        <w:spacing w:after="0"/>
        <w:rPr>
          <w:color w:val="auto"/>
        </w:rPr>
      </w:pPr>
      <w:r w:rsidRPr="00722D88">
        <w:rPr>
          <w:color w:val="auto"/>
        </w:rPr>
        <w:t xml:space="preserve">gminy miejsko-wiejskie: Ćmielów, Kunów, Stąporków, Suchedniów, Wąchock, Końskie (obszar wiejski), </w:t>
      </w:r>
    </w:p>
    <w:p w:rsidR="000C7260" w:rsidRPr="00722D88" w:rsidRDefault="000C7260" w:rsidP="008C2487">
      <w:pPr>
        <w:pStyle w:val="Niebieski"/>
        <w:numPr>
          <w:ilvl w:val="0"/>
          <w:numId w:val="44"/>
        </w:numPr>
        <w:spacing w:after="0"/>
        <w:rPr>
          <w:color w:val="auto"/>
        </w:rPr>
      </w:pPr>
      <w:r w:rsidRPr="00722D88">
        <w:rPr>
          <w:color w:val="auto"/>
        </w:rPr>
        <w:t xml:space="preserve">o gminy wiejskie: Bliżyn, Bodzechów, Brody, Mirzec, Pawłów, Skarżysko-Kościelne, </w:t>
      </w:r>
      <w:r w:rsidRPr="00722D88">
        <w:rPr>
          <w:color w:val="auto"/>
        </w:rPr>
        <w:br/>
        <w:t>Waśniów,</w:t>
      </w:r>
    </w:p>
    <w:p w:rsidR="000C7260" w:rsidRPr="00F15DDA" w:rsidRDefault="000C7260" w:rsidP="008C2487">
      <w:pPr>
        <w:spacing w:after="0" w:line="276" w:lineRule="auto"/>
        <w:jc w:val="both"/>
      </w:pPr>
      <w:r w:rsidRPr="00F15DDA">
        <w:t xml:space="preserve">Plan powinien być realizowany w bezpośredniej współpracy z następującymi </w:t>
      </w:r>
      <w:proofErr w:type="spellStart"/>
      <w:r w:rsidRPr="00F15DDA">
        <w:t>interesariuszami</w:t>
      </w:r>
      <w:proofErr w:type="spellEnd"/>
      <w:r w:rsidRPr="00F15DDA">
        <w:t xml:space="preserve"> (uwzględnianymi obowiązkowo w badaniach jakościowych lub konsultacjach społecznych):</w:t>
      </w:r>
    </w:p>
    <w:p w:rsidR="000C7260" w:rsidRPr="00F15DDA" w:rsidRDefault="000C7260" w:rsidP="008C2487">
      <w:pPr>
        <w:pStyle w:val="Niebieski"/>
        <w:numPr>
          <w:ilvl w:val="0"/>
          <w:numId w:val="5"/>
        </w:numPr>
        <w:spacing w:after="0"/>
        <w:rPr>
          <w:color w:val="auto"/>
        </w:rPr>
      </w:pPr>
      <w:r w:rsidRPr="00F15DDA">
        <w:rPr>
          <w:color w:val="auto"/>
        </w:rPr>
        <w:t>przedstawiciele starostw, MOF Miasta Północy, związków międzygminnych, samorządu województwa, itp.;</w:t>
      </w:r>
    </w:p>
    <w:p w:rsidR="000C7260" w:rsidRPr="00F15DDA" w:rsidRDefault="000C7260" w:rsidP="008C2487">
      <w:pPr>
        <w:pStyle w:val="Niebieski"/>
        <w:numPr>
          <w:ilvl w:val="0"/>
          <w:numId w:val="5"/>
        </w:numPr>
        <w:spacing w:after="0"/>
        <w:rPr>
          <w:color w:val="auto"/>
        </w:rPr>
      </w:pPr>
      <w:r w:rsidRPr="00F15DDA">
        <w:rPr>
          <w:color w:val="auto"/>
        </w:rPr>
        <w:t>przedstawiciele jednostek zależnych/ podległych Zamawiającemu (MOF Miasta Północy), wydziałów urzędu jednostki terytorialnej, szkół (szczególnie ponadpodstawowych), spółek miejskich itp., w tym osoby odpowiedzialne za transport, planowanie przestrzenne, edukację, bezpieczeństwo ruchu i ochronę środowiska;</w:t>
      </w:r>
    </w:p>
    <w:p w:rsidR="000C7260" w:rsidRPr="00F15DDA" w:rsidRDefault="000C7260" w:rsidP="008C2487">
      <w:pPr>
        <w:pStyle w:val="Niebieski"/>
        <w:numPr>
          <w:ilvl w:val="0"/>
          <w:numId w:val="5"/>
        </w:numPr>
        <w:spacing w:after="0"/>
        <w:rPr>
          <w:color w:val="auto"/>
        </w:rPr>
      </w:pPr>
      <w:r w:rsidRPr="00F15DDA">
        <w:rPr>
          <w:color w:val="auto"/>
        </w:rPr>
        <w:t xml:space="preserve">przedstawicieli przewoźników i zarządców infrastruktury (np. </w:t>
      </w:r>
      <w:proofErr w:type="spellStart"/>
      <w:r w:rsidRPr="00F15DDA">
        <w:rPr>
          <w:color w:val="auto"/>
        </w:rPr>
        <w:t>GDDKiA</w:t>
      </w:r>
      <w:proofErr w:type="spellEnd"/>
      <w:r w:rsidRPr="00F15DDA">
        <w:rPr>
          <w:color w:val="auto"/>
        </w:rPr>
        <w:t>, PKP PLK, zarząd dróg wojewódzkich, kolejowy przewoźnik regionalny, operatorzy komunikacji miejskiej, podmiejskiej i międzymiastowej);</w:t>
      </w:r>
    </w:p>
    <w:p w:rsidR="000C7260" w:rsidRPr="00F15DDA" w:rsidRDefault="000C7260" w:rsidP="008C2487">
      <w:pPr>
        <w:pStyle w:val="Niebieski"/>
        <w:numPr>
          <w:ilvl w:val="0"/>
          <w:numId w:val="5"/>
        </w:numPr>
        <w:spacing w:after="0"/>
        <w:rPr>
          <w:color w:val="auto"/>
        </w:rPr>
      </w:pPr>
      <w:r w:rsidRPr="00F15DDA">
        <w:rPr>
          <w:color w:val="auto"/>
        </w:rPr>
        <w:t>przedstawiciele miasta rdzeniowego MOF Miasta Północy;</w:t>
      </w:r>
    </w:p>
    <w:p w:rsidR="000C7260" w:rsidRPr="00F15DDA" w:rsidRDefault="000C7260" w:rsidP="008C2487">
      <w:pPr>
        <w:pStyle w:val="Niebieski"/>
        <w:numPr>
          <w:ilvl w:val="0"/>
          <w:numId w:val="5"/>
        </w:numPr>
        <w:spacing w:after="0"/>
        <w:rPr>
          <w:color w:val="auto"/>
        </w:rPr>
      </w:pPr>
      <w:r w:rsidRPr="00F15DDA">
        <w:rPr>
          <w:color w:val="auto"/>
        </w:rPr>
        <w:t>przedstawiciele firm i pracodawców (w szczególności – developerów budynków mieszkalnych i parków przemysłowych, stref ekonomicznych, inkubatorów przedsiębiorczości itp.);</w:t>
      </w:r>
    </w:p>
    <w:p w:rsidR="000C7260" w:rsidRDefault="000C7260" w:rsidP="008C2487">
      <w:pPr>
        <w:pStyle w:val="Niebieski"/>
        <w:numPr>
          <w:ilvl w:val="0"/>
          <w:numId w:val="5"/>
        </w:numPr>
        <w:spacing w:after="0"/>
        <w:rPr>
          <w:color w:val="auto"/>
        </w:rPr>
      </w:pPr>
      <w:r w:rsidRPr="00F15DDA">
        <w:rPr>
          <w:color w:val="auto"/>
        </w:rPr>
        <w:t>mieszkańcy.</w:t>
      </w:r>
    </w:p>
    <w:p w:rsidR="009006AC" w:rsidRDefault="009006AC" w:rsidP="009006AC">
      <w:pPr>
        <w:pStyle w:val="Niebieski"/>
        <w:spacing w:after="0"/>
        <w:ind w:left="720"/>
        <w:rPr>
          <w:color w:val="auto"/>
        </w:rPr>
      </w:pPr>
    </w:p>
    <w:p w:rsidR="009006AC" w:rsidRPr="00F15DDA" w:rsidRDefault="009006AC" w:rsidP="009006AC">
      <w:pPr>
        <w:pStyle w:val="Niebieski"/>
        <w:spacing w:after="0"/>
        <w:ind w:left="720"/>
        <w:rPr>
          <w:color w:val="auto"/>
        </w:rPr>
      </w:pPr>
    </w:p>
    <w:p w:rsidR="000C7260" w:rsidRPr="00F15DDA" w:rsidRDefault="000C7260" w:rsidP="008C2487">
      <w:pPr>
        <w:pStyle w:val="Nagwek2"/>
        <w:numPr>
          <w:ilvl w:val="0"/>
          <w:numId w:val="45"/>
        </w:numPr>
        <w:spacing w:before="0" w:after="0" w:line="276" w:lineRule="auto"/>
        <w:rPr>
          <w:color w:val="auto"/>
        </w:rPr>
      </w:pPr>
      <w:bookmarkStart w:id="6" w:name="_Toc91682661"/>
      <w:r w:rsidRPr="00F15DDA">
        <w:rPr>
          <w:color w:val="auto"/>
        </w:rPr>
        <w:t>Organizacyjne zasady realizacji zamówienia</w:t>
      </w:r>
      <w:bookmarkEnd w:id="6"/>
    </w:p>
    <w:p w:rsidR="000C7260" w:rsidRPr="00F15DDA" w:rsidRDefault="000C7260" w:rsidP="008C2487">
      <w:pPr>
        <w:spacing w:after="0" w:line="276" w:lineRule="auto"/>
        <w:jc w:val="both"/>
      </w:pPr>
      <w:r w:rsidRPr="00F15DDA">
        <w:t xml:space="preserve">Wykonawca powinien być w stałym kontakcie z Zamawiającym i na życzenie Zamawiającego być dostępnym w celu Bieżących Spotkań Koordynacyjnych w siedzibie Zamawiającego lub innym wskazanym przez Zamawiającego miejscu nie częściej niż raz </w:t>
      </w:r>
      <w:r w:rsidRPr="00F15DDA">
        <w:rPr>
          <w:rStyle w:val="NiebieskiZnak"/>
          <w:color w:val="auto"/>
        </w:rPr>
        <w:t xml:space="preserve">na </w:t>
      </w:r>
      <w:r w:rsidR="00F15DDA" w:rsidRPr="00F15DDA">
        <w:rPr>
          <w:rStyle w:val="NiebieskiZnak"/>
          <w:color w:val="auto"/>
        </w:rPr>
        <w:t>miesiąc</w:t>
      </w:r>
      <w:r w:rsidRPr="00F15DDA">
        <w:t>. Wykonawca powinien ponadto służyć pomocą Zamawiającemu w procesie uchwalania Planu przez odpowiednie organy, w tym wprowadzać poprawki zgodnie z oczekiwaniami tych organów.</w:t>
      </w:r>
    </w:p>
    <w:p w:rsidR="000C7260" w:rsidRPr="00F15DDA" w:rsidRDefault="000C7260" w:rsidP="008C2487">
      <w:pPr>
        <w:spacing w:after="0" w:line="276" w:lineRule="auto"/>
        <w:jc w:val="both"/>
      </w:pPr>
      <w:r w:rsidRPr="00F15DDA">
        <w:lastRenderedPageBreak/>
        <w:t>Zamawiający zastrzega sobie prawo do dowolnych zmian w kwestionariuszach, scenariuszach oraz kryteriach rekrutacji respondentów niezbędnych na etapie badań wymaganych w procesie przygotowania Planu.</w:t>
      </w:r>
    </w:p>
    <w:p w:rsidR="000C7260" w:rsidRPr="00F15DDA" w:rsidRDefault="000C7260" w:rsidP="008C2487">
      <w:pPr>
        <w:spacing w:after="0" w:line="276" w:lineRule="auto"/>
        <w:jc w:val="both"/>
      </w:pPr>
      <w:r w:rsidRPr="00F15DDA">
        <w:t>Wykonawca w ramach swojego wynagrodzenia, wskazanego w formularzu ofertowym, jest zobowiązany do pokrycia wszelkich kosztów, związanych z realizacją zamówienia, w szczególności do pokrycia kosztów rekrutacji i ho</w:t>
      </w:r>
      <w:r w:rsidR="00F15DDA" w:rsidRPr="00F15DDA">
        <w:t>norariów respondentów</w:t>
      </w:r>
      <w:r w:rsidRPr="00F15DDA">
        <w:t>, kosztów pozyskania danych od innych gestorów, za wyjątkiem kosztów wskazanych poniżej.</w:t>
      </w:r>
    </w:p>
    <w:p w:rsidR="000C7260" w:rsidRPr="00F15DDA" w:rsidRDefault="000C7260" w:rsidP="008C2487">
      <w:pPr>
        <w:spacing w:after="0" w:line="276" w:lineRule="auto"/>
        <w:jc w:val="both"/>
      </w:pPr>
      <w:r w:rsidRPr="00F15DDA">
        <w:t>Zamawiający zapewnia nieodpłatne przekazanie danych będących w jego dyspozycji, pomieszczeń do realizacji konsultacji społecznych, wraz ze sprzętem rejestrującym dźwięk. Zamawiający zobowiązuje się także udostępnić nośniki reklamowe będące w jego dyspozycji w celu realizacji Planu Promocji SUMP, przy czym wykonanie druku plakatów i innych materiałów oraz ich dostarczenie we wskazane miejsce odbywa się na koszt Wykonawcy.</w:t>
      </w:r>
    </w:p>
    <w:p w:rsidR="000C7260" w:rsidRPr="00F15DDA" w:rsidRDefault="000C7260" w:rsidP="008C2487">
      <w:pPr>
        <w:pStyle w:val="Czarny"/>
        <w:spacing w:after="0"/>
      </w:pPr>
      <w:r w:rsidRPr="00F15DDA">
        <w:t>Wszelka dokumentacja powstała w wyniku realizacji zamówienia powinna być przekazana Zamawiającemu – dotyczy to w szczególności baz danych i analiz przeprowadzanych na tych bazach, notatek ze spotkań, wraz z koniecznymi specyfikacjami i bazami pozwalającymi na dalsze korzystanie z tych danych przez Zamawiającego.</w:t>
      </w:r>
    </w:p>
    <w:p w:rsidR="000C7260" w:rsidRDefault="000C7260" w:rsidP="008C2487">
      <w:pPr>
        <w:pStyle w:val="Czarny"/>
        <w:spacing w:after="0"/>
      </w:pPr>
    </w:p>
    <w:p w:rsidR="009006AC" w:rsidRPr="00F15DDA" w:rsidRDefault="009006AC" w:rsidP="008C2487">
      <w:pPr>
        <w:pStyle w:val="Czarny"/>
        <w:spacing w:after="0"/>
      </w:pPr>
    </w:p>
    <w:p w:rsidR="000C7260" w:rsidRPr="00F15DDA" w:rsidRDefault="000C7260" w:rsidP="008C2487">
      <w:pPr>
        <w:pStyle w:val="Nagwek2"/>
        <w:numPr>
          <w:ilvl w:val="0"/>
          <w:numId w:val="45"/>
        </w:numPr>
        <w:spacing w:before="0" w:after="0" w:line="276" w:lineRule="auto"/>
        <w:rPr>
          <w:color w:val="auto"/>
        </w:rPr>
      </w:pPr>
      <w:bookmarkStart w:id="7" w:name="_Toc91682662"/>
      <w:r w:rsidRPr="00F15DDA">
        <w:rPr>
          <w:color w:val="auto"/>
        </w:rPr>
        <w:t>Zakres merytoryczny zamówienia</w:t>
      </w:r>
      <w:bookmarkEnd w:id="3"/>
      <w:bookmarkEnd w:id="7"/>
    </w:p>
    <w:p w:rsidR="000C7260" w:rsidRPr="006A0126" w:rsidRDefault="000C7260" w:rsidP="008C2487">
      <w:pPr>
        <w:spacing w:after="0" w:line="276" w:lineRule="auto"/>
        <w:jc w:val="both"/>
        <w:rPr>
          <w:rFonts w:eastAsia="Times New Roman" w:cstheme="minorHAnsi"/>
          <w:lang w:eastAsia="pl-PL"/>
        </w:rPr>
      </w:pPr>
      <w:r w:rsidRPr="006A0126">
        <w:rPr>
          <w:rFonts w:eastAsia="Times New Roman" w:cstheme="minorHAnsi"/>
          <w:lang w:eastAsia="pl-PL"/>
        </w:rPr>
        <w:t xml:space="preserve">Szczegółowy zakres kluczowych inwestycji MOF Miast Północy zawarty jest w Załączniku II do Strategii Rozwoju Województwa Świętokrzyskiego 2030+ </w:t>
      </w:r>
    </w:p>
    <w:p w:rsidR="000C7260" w:rsidRPr="006A0126" w:rsidRDefault="000C7260" w:rsidP="008C2487">
      <w:pPr>
        <w:spacing w:after="0" w:line="276" w:lineRule="auto"/>
        <w:jc w:val="both"/>
        <w:rPr>
          <w:rFonts w:eastAsia="Times New Roman" w:cstheme="minorHAnsi"/>
          <w:lang w:eastAsia="pl-PL"/>
        </w:rPr>
      </w:pPr>
      <w:r w:rsidRPr="006A0126">
        <w:rPr>
          <w:rFonts w:eastAsia="Times New Roman" w:cstheme="minorHAnsi"/>
          <w:lang w:eastAsia="pl-PL"/>
        </w:rPr>
        <w:t xml:space="preserve"> </w:t>
      </w:r>
      <w:hyperlink r:id="rId11" w:history="1">
        <w:r w:rsidRPr="006A0126">
          <w:rPr>
            <w:rStyle w:val="Hipercze"/>
            <w:rFonts w:eastAsia="Times New Roman" w:cstheme="minorHAnsi"/>
            <w:lang w:eastAsia="pl-PL"/>
          </w:rPr>
          <w:t>https://www.swietokrzyskie.pro/file/2021/04/Zalacznik-II_do-Strategii_Obszary-realizacji-projektow-i-przedsiewziecia-strategiczne.pdf</w:t>
        </w:r>
      </w:hyperlink>
      <w:r w:rsidRPr="006A0126">
        <w:rPr>
          <w:rFonts w:eastAsia="Times New Roman" w:cstheme="minorHAnsi"/>
          <w:lang w:eastAsia="pl-PL"/>
        </w:rPr>
        <w:t xml:space="preserve"> </w:t>
      </w:r>
    </w:p>
    <w:p w:rsidR="000C7260" w:rsidRPr="00A77B52" w:rsidRDefault="000C7260" w:rsidP="008C2487">
      <w:pPr>
        <w:pStyle w:val="Czarny"/>
        <w:spacing w:after="0"/>
        <w:rPr>
          <w:highlight w:val="yellow"/>
        </w:rPr>
      </w:pPr>
    </w:p>
    <w:p w:rsidR="00AC5BB2" w:rsidRPr="00AC5BB2" w:rsidRDefault="000C7260" w:rsidP="008C2487">
      <w:pPr>
        <w:pStyle w:val="Czarny"/>
        <w:spacing w:after="0"/>
      </w:pPr>
      <w:r w:rsidRPr="00AC5BB2">
        <w:t xml:space="preserve">Obszary Strategiczne to główne kierunki zmian, planowane do realizacji w ramach SUMP, wynikające ze wstępnej analizy potrzeb dokonanej przez Zamawiającego w kontekście kanonu wiedzy na temat zarządzania zrównoważoną mobilnością. </w:t>
      </w:r>
    </w:p>
    <w:p w:rsidR="000C7260" w:rsidRPr="00AC5BB2" w:rsidRDefault="000C7260" w:rsidP="008C2487">
      <w:pPr>
        <w:pStyle w:val="Czarny"/>
        <w:spacing w:after="0"/>
      </w:pPr>
      <w:r w:rsidRPr="00AC5BB2">
        <w:t xml:space="preserve">Do MOF Miasta Północy przyporządkowane zostały </w:t>
      </w:r>
      <w:r w:rsidR="00F0733E">
        <w:t>działania, które p</w:t>
      </w:r>
      <w:r w:rsidRPr="00AC5BB2">
        <w:t>owinny podlegać kompleksowej ocenie i optymalizacji przez Wykonawcę w toku przygotowania SUMP, również w sposób łączący MOF Miasta Północy.</w:t>
      </w:r>
    </w:p>
    <w:p w:rsidR="000C7260" w:rsidRPr="00CA307C" w:rsidRDefault="000C7260" w:rsidP="008C2487">
      <w:pPr>
        <w:pStyle w:val="Czarny"/>
        <w:spacing w:after="0"/>
      </w:pPr>
      <w:r w:rsidRPr="00F0733E">
        <w:t xml:space="preserve">Wykonawca w toku procesu przygotowania SUMP może postulować modyfikacje Obszarów Strategicznych w ramach obszaru MOF Miasta Północy i Rozważanych Działań, jeśli wynika to z </w:t>
      </w:r>
      <w:r w:rsidRPr="00CA307C">
        <w:t>prowadzonych analiz, jednakże powinien w takim przypadku uzyskać akceptację Zamawiającego. Zmiany nie powinny powodować ogólnego obniżenia pracochłonności przygotowania Planu.</w:t>
      </w:r>
    </w:p>
    <w:p w:rsidR="000C7260" w:rsidRPr="00CA307C" w:rsidRDefault="000C7260" w:rsidP="008C2487">
      <w:pPr>
        <w:spacing w:after="0" w:line="276" w:lineRule="auto"/>
        <w:jc w:val="both"/>
      </w:pPr>
      <w:r w:rsidRPr="00CA307C">
        <w:t xml:space="preserve">Termin realizacji zamówienia wynosi </w:t>
      </w:r>
      <w:r w:rsidR="0024615A" w:rsidRPr="00CA307C">
        <w:rPr>
          <w:b/>
        </w:rPr>
        <w:t>17.11.2022r.</w:t>
      </w:r>
    </w:p>
    <w:p w:rsidR="000C7260" w:rsidRPr="00CA307C" w:rsidRDefault="000C7260" w:rsidP="008C2487">
      <w:pPr>
        <w:spacing w:after="0" w:line="276" w:lineRule="auto"/>
        <w:jc w:val="both"/>
      </w:pPr>
      <w:r w:rsidRPr="00CA307C">
        <w:t xml:space="preserve">Projekt Planu Zrównoważonej Mobilności Miejskiej (Projekt SUMP) – przedstawiany w </w:t>
      </w:r>
      <w:r w:rsidRPr="00CA307C">
        <w:rPr>
          <w:b/>
        </w:rPr>
        <w:t>terminie</w:t>
      </w:r>
      <w:r w:rsidRPr="00CA307C">
        <w:rPr>
          <w:b/>
          <w:color w:val="215868" w:themeColor="accent5" w:themeShade="80"/>
        </w:rPr>
        <w:t xml:space="preserve"> </w:t>
      </w:r>
      <w:r w:rsidRPr="00CA307C">
        <w:rPr>
          <w:b/>
        </w:rPr>
        <w:t>6</w:t>
      </w:r>
      <w:r w:rsidRPr="00CA307C">
        <w:t xml:space="preserve"> </w:t>
      </w:r>
      <w:r w:rsidRPr="00CA307C">
        <w:rPr>
          <w:b/>
        </w:rPr>
        <w:t xml:space="preserve">miesięcy </w:t>
      </w:r>
      <w:r w:rsidRPr="00CA307C">
        <w:t xml:space="preserve">od daty podpisania umowy wraz z Raportem OOŚ </w:t>
      </w:r>
      <w:r w:rsidR="0024615A" w:rsidRPr="00CA307C">
        <w:t xml:space="preserve">(jeśli jego sporządzenie będzie wymagane). </w:t>
      </w:r>
    </w:p>
    <w:p w:rsidR="000C7260" w:rsidRPr="00E649CA" w:rsidRDefault="000C7260" w:rsidP="008C2487">
      <w:pPr>
        <w:pStyle w:val="Akapitzlist"/>
        <w:numPr>
          <w:ilvl w:val="0"/>
          <w:numId w:val="10"/>
        </w:numPr>
        <w:spacing w:after="0" w:line="276" w:lineRule="auto"/>
        <w:jc w:val="both"/>
      </w:pPr>
      <w:r w:rsidRPr="00E649CA">
        <w:t>Projekt Planu Zrównoważonej Mobilności Miejskiej jest głównym produktem zamówienia i powinien obejmować głównie części postulatywne. Wyciąg z diagnozy nie powinien zawierać więcej niż 25% objętości Planu i obejmować kluczowe wnioski, determinujące późniejsze działania.</w:t>
      </w:r>
    </w:p>
    <w:p w:rsidR="000C7260" w:rsidRPr="00606232" w:rsidRDefault="000C7260" w:rsidP="008C2487">
      <w:pPr>
        <w:pStyle w:val="Akapitzlist"/>
        <w:numPr>
          <w:ilvl w:val="0"/>
          <w:numId w:val="10"/>
        </w:numPr>
        <w:spacing w:after="0" w:line="276" w:lineRule="auto"/>
        <w:jc w:val="both"/>
      </w:pPr>
      <w:r w:rsidRPr="00E649CA">
        <w:t xml:space="preserve">Dodatkowo Projekt SUMP powinien na początku zawierać ilustrowaną </w:t>
      </w:r>
      <w:proofErr w:type="spellStart"/>
      <w:r w:rsidRPr="00E649CA">
        <w:t>max</w:t>
      </w:r>
      <w:proofErr w:type="spellEnd"/>
      <w:r w:rsidRPr="00E649CA">
        <w:t xml:space="preserve">. 4 stronicową syntezę, wskazującą na główne jego działania wraz z uzasadnieniem i korzyściami dla </w:t>
      </w:r>
      <w:r w:rsidRPr="00606232">
        <w:t>mieszkańców.</w:t>
      </w:r>
    </w:p>
    <w:p w:rsidR="000C7260" w:rsidRPr="00606232" w:rsidRDefault="000C7260" w:rsidP="008C2487">
      <w:pPr>
        <w:spacing w:after="0" w:line="276" w:lineRule="auto"/>
        <w:jc w:val="both"/>
      </w:pPr>
      <w:r w:rsidRPr="00606232">
        <w:lastRenderedPageBreak/>
        <w:t>Raport ze strategicznej analizy oddziaływania na środowisko (Raport OOŚ) dołączony do Projektu SUMP:</w:t>
      </w:r>
    </w:p>
    <w:p w:rsidR="000C7260" w:rsidRPr="00606232" w:rsidRDefault="000C7260" w:rsidP="008C2487">
      <w:pPr>
        <w:pStyle w:val="Akapitzlist"/>
        <w:numPr>
          <w:ilvl w:val="0"/>
          <w:numId w:val="10"/>
        </w:numPr>
        <w:spacing w:after="0" w:line="276" w:lineRule="auto"/>
        <w:jc w:val="both"/>
      </w:pPr>
      <w:r w:rsidRPr="00606232">
        <w:t xml:space="preserve">Raport powinien być zgodny z Ustawą z dnia 03.10.2008 r. z </w:t>
      </w:r>
      <w:proofErr w:type="spellStart"/>
      <w:r w:rsidRPr="00606232">
        <w:t>późn</w:t>
      </w:r>
      <w:proofErr w:type="spellEnd"/>
      <w:r w:rsidRPr="00606232">
        <w:t xml:space="preserve">. zm. o udostępnianiu informacji o środowisku i jego ochronie, udziale społeczeństwa w ochronie środowiska oraz ocenach oddziaływania na środowisko. </w:t>
      </w:r>
    </w:p>
    <w:p w:rsidR="000C7260" w:rsidRPr="00606232" w:rsidRDefault="000C7260" w:rsidP="008C2487">
      <w:pPr>
        <w:pStyle w:val="Akapitzlist"/>
        <w:numPr>
          <w:ilvl w:val="0"/>
          <w:numId w:val="10"/>
        </w:numPr>
        <w:spacing w:after="0" w:line="276" w:lineRule="auto"/>
        <w:jc w:val="both"/>
      </w:pPr>
      <w:r w:rsidRPr="00606232">
        <w:t>Raport powinien być realizowany równolegle do SUMP, w sposób zintegrowany z procesem opracowywania SUMP, tj. w szczególności:</w:t>
      </w:r>
    </w:p>
    <w:p w:rsidR="000C7260" w:rsidRPr="00811C0A" w:rsidRDefault="000C7260" w:rsidP="008C2487">
      <w:pPr>
        <w:pStyle w:val="Akapitzlist"/>
        <w:numPr>
          <w:ilvl w:val="1"/>
          <w:numId w:val="10"/>
        </w:numPr>
        <w:spacing w:after="0" w:line="276" w:lineRule="auto"/>
        <w:jc w:val="both"/>
      </w:pPr>
      <w:r w:rsidRPr="00811C0A">
        <w:t>Projekt SUMP i zawarte w nim działania powinny w toku ich przygotowania być oceniane pod względem wpływu na środowisko, z uwzględnieniem kryteriów wynikających z potrzeb i oczekiwań mieszkańców,  zweryfikowanych w wyniku OOŚ;</w:t>
      </w:r>
    </w:p>
    <w:p w:rsidR="000C7260" w:rsidRPr="00811C0A" w:rsidRDefault="000C7260" w:rsidP="008C2487">
      <w:pPr>
        <w:pStyle w:val="Akapitzlist"/>
        <w:numPr>
          <w:ilvl w:val="1"/>
          <w:numId w:val="10"/>
        </w:numPr>
        <w:spacing w:after="0" w:line="276" w:lineRule="auto"/>
        <w:jc w:val="both"/>
      </w:pPr>
      <w:r w:rsidRPr="00811C0A">
        <w:t>wszelkie rozważane działania powinny być optymalizowane pod względem oceny oddziaływania na środowisko przed wyborem optymalnego;</w:t>
      </w:r>
    </w:p>
    <w:p w:rsidR="000C7260" w:rsidRPr="00811C0A" w:rsidRDefault="000C7260" w:rsidP="008C2487">
      <w:pPr>
        <w:pStyle w:val="Akapitzlist"/>
        <w:numPr>
          <w:ilvl w:val="1"/>
          <w:numId w:val="10"/>
        </w:numPr>
        <w:spacing w:after="0" w:line="276" w:lineRule="auto"/>
        <w:jc w:val="both"/>
      </w:pPr>
      <w:r w:rsidRPr="00811C0A">
        <w:t>w ramach OOŚ należy dokonać przeglądu systemu monitoringu i wskaźników Projektu SUMP dla upewnienia się, czy uwzględnia on aspekt środowiskowy;</w:t>
      </w:r>
    </w:p>
    <w:p w:rsidR="000C7260" w:rsidRPr="00811C0A" w:rsidRDefault="000C7260" w:rsidP="008C2487">
      <w:pPr>
        <w:pStyle w:val="Akapitzlist"/>
        <w:spacing w:after="0" w:line="276" w:lineRule="auto"/>
        <w:ind w:left="1440"/>
        <w:jc w:val="both"/>
      </w:pPr>
      <w:r w:rsidRPr="00811C0A">
        <w:t>- przy czym trzy powyższe zasady powinny być przestrzegane również w przypadku zwolnienia SUMP z OOŚ;</w:t>
      </w:r>
    </w:p>
    <w:p w:rsidR="000C7260" w:rsidRPr="00606232" w:rsidRDefault="000C7260" w:rsidP="008C2487">
      <w:pPr>
        <w:pStyle w:val="Akapitzlist"/>
        <w:numPr>
          <w:ilvl w:val="1"/>
          <w:numId w:val="10"/>
        </w:numPr>
        <w:spacing w:after="0" w:line="276" w:lineRule="auto"/>
        <w:jc w:val="both"/>
      </w:pPr>
      <w:r w:rsidRPr="00606232">
        <w:t xml:space="preserve">konsultacje OOŚ powinny uwzględniać możliwość wypowiadania się przez </w:t>
      </w:r>
      <w:proofErr w:type="spellStart"/>
      <w:r w:rsidRPr="00606232">
        <w:t>internet</w:t>
      </w:r>
      <w:proofErr w:type="spellEnd"/>
      <w:r w:rsidRPr="00606232">
        <w:t xml:space="preserve">, </w:t>
      </w:r>
    </w:p>
    <w:p w:rsidR="000C7260" w:rsidRPr="00606232" w:rsidRDefault="000C7260" w:rsidP="008C2487">
      <w:pPr>
        <w:pStyle w:val="Akapitzlist"/>
        <w:numPr>
          <w:ilvl w:val="0"/>
          <w:numId w:val="10"/>
        </w:numPr>
        <w:spacing w:after="0" w:line="276" w:lineRule="auto"/>
        <w:jc w:val="both"/>
      </w:pPr>
      <w:r w:rsidRPr="00606232">
        <w:t>Raport jest wymagany, o ile nie zostanie uzyskane od właściwego organu zwolnienie z przeprowadzenia strategicznej OOŚ.</w:t>
      </w:r>
    </w:p>
    <w:p w:rsidR="000C7260" w:rsidRPr="00606232" w:rsidRDefault="000C7260" w:rsidP="008C2487">
      <w:pPr>
        <w:spacing w:after="0" w:line="276" w:lineRule="auto"/>
        <w:jc w:val="both"/>
      </w:pPr>
      <w:r w:rsidRPr="00606232">
        <w:t>Każdorazowo po przedstawieniu dokumentów, Zamawiający ma 10 dni roboczych na zgłoszenie do nich uwag lub odbiór bez zastrzeżeń. Wszelkie uwagi Wykonawca powinien wprowadzać w ciągu 5 dni roboczych od przedstawienia uwag przez Zamawiającego.</w:t>
      </w:r>
    </w:p>
    <w:p w:rsidR="002B451B" w:rsidRDefault="000C7260" w:rsidP="008C2487">
      <w:pPr>
        <w:spacing w:after="0" w:line="276" w:lineRule="auto"/>
        <w:jc w:val="both"/>
      </w:pPr>
      <w:r w:rsidRPr="00606232">
        <w:t xml:space="preserve">Odbiór bez zastrzeżeń pierwszego projektu SUMP i otrzymanie za niego wynagrodzenia nie zwalnia Wykonawcy z konieczności wprowadzenia do SUMP dalszych poprawek, związanych z procesem przyjmowania SUMP i uwagami odpowiednich organów administracji publicznej, w tym związanych z Oceną Oddziaływania na Środowisko. Po uzyskaniu wszystkich uzgodnień i upływie co najmniej </w:t>
      </w:r>
      <w:r w:rsidRPr="00606232">
        <w:rPr>
          <w:b/>
        </w:rPr>
        <w:t xml:space="preserve">3 miesięcy </w:t>
      </w:r>
      <w:r w:rsidRPr="00606232">
        <w:t>od odbioru projektu SUMP bez uwag – Wykonawca otrzyma pozostałą część wynagrodzenia.</w:t>
      </w:r>
      <w:bookmarkStart w:id="8" w:name="_Ref43567847"/>
    </w:p>
    <w:p w:rsidR="000C7260" w:rsidRPr="002B451B" w:rsidRDefault="000C7260" w:rsidP="008C2487">
      <w:pPr>
        <w:spacing w:after="0" w:line="276" w:lineRule="auto"/>
        <w:jc w:val="both"/>
        <w:rPr>
          <w:highlight w:val="yellow"/>
        </w:rPr>
      </w:pPr>
      <w:r w:rsidRPr="002B451B">
        <w:t xml:space="preserve">Tabela </w:t>
      </w:r>
      <w:r w:rsidR="00105815" w:rsidRPr="002B451B">
        <w:fldChar w:fldCharType="begin"/>
      </w:r>
      <w:r w:rsidRPr="002B451B">
        <w:instrText xml:space="preserve"> SEQ Tabela \* ARABIC </w:instrText>
      </w:r>
      <w:r w:rsidR="00105815" w:rsidRPr="002B451B">
        <w:fldChar w:fldCharType="separate"/>
      </w:r>
      <w:r w:rsidRPr="002B451B">
        <w:rPr>
          <w:noProof/>
        </w:rPr>
        <w:t>4</w:t>
      </w:r>
      <w:r w:rsidR="00105815" w:rsidRPr="002B451B">
        <w:fldChar w:fldCharType="end"/>
      </w:r>
      <w:bookmarkEnd w:id="8"/>
      <w:r w:rsidRPr="002B451B">
        <w:t>. Opis zastosowania typowych metod badawczych</w:t>
      </w:r>
    </w:p>
    <w:tbl>
      <w:tblPr>
        <w:tblStyle w:val="Tabela-Siatka"/>
        <w:tblW w:w="0" w:type="auto"/>
        <w:tblLook w:val="04A0"/>
      </w:tblPr>
      <w:tblGrid>
        <w:gridCol w:w="2689"/>
        <w:gridCol w:w="6373"/>
      </w:tblGrid>
      <w:tr w:rsidR="000C7260" w:rsidRPr="00CA307C" w:rsidTr="00BB6854">
        <w:tc>
          <w:tcPr>
            <w:tcW w:w="2689" w:type="dxa"/>
          </w:tcPr>
          <w:p w:rsidR="000C7260" w:rsidRPr="00CA307C" w:rsidRDefault="000C7260" w:rsidP="008C2487">
            <w:pPr>
              <w:spacing w:after="0" w:line="276" w:lineRule="auto"/>
            </w:pPr>
            <w:r w:rsidRPr="00CA307C">
              <w:t>Konsultacje społeczne</w:t>
            </w:r>
          </w:p>
        </w:tc>
        <w:tc>
          <w:tcPr>
            <w:tcW w:w="6373" w:type="dxa"/>
          </w:tcPr>
          <w:p w:rsidR="000C7260" w:rsidRPr="00CA307C" w:rsidRDefault="000C7260" w:rsidP="008C2487">
            <w:pPr>
              <w:pStyle w:val="Niebieski"/>
              <w:spacing w:after="0"/>
              <w:rPr>
                <w:color w:val="auto"/>
              </w:rPr>
            </w:pPr>
            <w:r w:rsidRPr="00CA307C">
              <w:rPr>
                <w:color w:val="auto"/>
              </w:rPr>
              <w:t>Przeprowadzenie konsultacji społecznych – pozyskiwanie wiedzy i opinii grup reprezentatywnych i przekazanie informacji na temat stosowanych rozwiązań.</w:t>
            </w:r>
          </w:p>
        </w:tc>
      </w:tr>
      <w:tr w:rsidR="000C7260" w:rsidRPr="00A77B52" w:rsidTr="00BB6854">
        <w:tc>
          <w:tcPr>
            <w:tcW w:w="2689" w:type="dxa"/>
          </w:tcPr>
          <w:p w:rsidR="000C7260" w:rsidRPr="00CA307C" w:rsidRDefault="000C7260" w:rsidP="008C2487">
            <w:pPr>
              <w:spacing w:after="0" w:line="276" w:lineRule="auto"/>
            </w:pPr>
            <w:r w:rsidRPr="00CA307C">
              <w:t>Ocena oddziaływania na środowisko (OOŚ)</w:t>
            </w:r>
          </w:p>
        </w:tc>
        <w:tc>
          <w:tcPr>
            <w:tcW w:w="6373" w:type="dxa"/>
          </w:tcPr>
          <w:p w:rsidR="000C7260" w:rsidRPr="00CA307C" w:rsidRDefault="000C7260" w:rsidP="008C2487">
            <w:pPr>
              <w:pStyle w:val="Niebieski"/>
              <w:spacing w:after="0"/>
              <w:rPr>
                <w:color w:val="auto"/>
              </w:rPr>
            </w:pPr>
            <w:r w:rsidRPr="00CA307C">
              <w:rPr>
                <w:color w:val="auto"/>
              </w:rPr>
              <w:t>Analiza ta powinna mieć na celu nie tylko spełnienie wymogów prawnych, lecz jak najlepsze wpisanie dokumentu w zasady zrównoważonego rozwoju. Stąd powinna bazować na następujących zasadach:</w:t>
            </w:r>
          </w:p>
          <w:p w:rsidR="000C7260" w:rsidRPr="00CA307C" w:rsidRDefault="000C7260" w:rsidP="008C2487">
            <w:pPr>
              <w:pStyle w:val="Akapitzlist"/>
              <w:numPr>
                <w:ilvl w:val="0"/>
                <w:numId w:val="40"/>
              </w:numPr>
              <w:spacing w:after="0" w:line="276" w:lineRule="auto"/>
              <w:jc w:val="both"/>
              <w:rPr>
                <w:rFonts w:ascii="Calibri" w:hAnsi="Calibri"/>
              </w:rPr>
            </w:pPr>
            <w:r w:rsidRPr="00CA307C">
              <w:t>powinna być zintegrowana z procesem przygotowania dokumentu od samego początku, a nie „ex post” w odniesieniu do zaawansowanego draftu;</w:t>
            </w:r>
          </w:p>
          <w:p w:rsidR="000C7260" w:rsidRPr="00CA307C" w:rsidRDefault="000C7260" w:rsidP="008C2487">
            <w:pPr>
              <w:pStyle w:val="Akapitzlist"/>
              <w:numPr>
                <w:ilvl w:val="0"/>
                <w:numId w:val="40"/>
              </w:numPr>
              <w:spacing w:after="0" w:line="276" w:lineRule="auto"/>
              <w:jc w:val="both"/>
              <w:rPr>
                <w:rFonts w:ascii="Calibri" w:hAnsi="Calibri"/>
              </w:rPr>
            </w:pPr>
            <w:r w:rsidRPr="00CA307C">
              <w:rPr>
                <w:rFonts w:ascii="Calibri" w:hAnsi="Calibri"/>
              </w:rPr>
              <w:t>proces powinien spełniać wymogi prawne</w:t>
            </w:r>
            <w:r w:rsidR="00CA307C" w:rsidRPr="00CA307C">
              <w:rPr>
                <w:rFonts w:ascii="Calibri" w:hAnsi="Calibri"/>
              </w:rPr>
              <w:t>.</w:t>
            </w:r>
          </w:p>
        </w:tc>
      </w:tr>
    </w:tbl>
    <w:p w:rsidR="000C7260" w:rsidRPr="00A77B52" w:rsidRDefault="000C7260" w:rsidP="008C2487">
      <w:pPr>
        <w:spacing w:after="0" w:line="276" w:lineRule="auto"/>
        <w:rPr>
          <w:highlight w:val="yellow"/>
        </w:rPr>
      </w:pPr>
    </w:p>
    <w:p w:rsidR="000C7260" w:rsidRPr="002B451B" w:rsidRDefault="000C7260" w:rsidP="008C2487">
      <w:pPr>
        <w:pStyle w:val="Nagwek2"/>
        <w:numPr>
          <w:ilvl w:val="0"/>
          <w:numId w:val="45"/>
        </w:numPr>
        <w:spacing w:before="0" w:after="0" w:line="276" w:lineRule="auto"/>
        <w:jc w:val="both"/>
        <w:rPr>
          <w:color w:val="auto"/>
        </w:rPr>
      </w:pPr>
      <w:bookmarkStart w:id="9" w:name="_Ref43566752"/>
      <w:bookmarkStart w:id="10" w:name="_Toc91682663"/>
      <w:r w:rsidRPr="002B451B">
        <w:rPr>
          <w:color w:val="auto"/>
        </w:rPr>
        <w:t>Promocja</w:t>
      </w:r>
      <w:bookmarkEnd w:id="9"/>
      <w:bookmarkEnd w:id="10"/>
    </w:p>
    <w:p w:rsidR="000C7260" w:rsidRPr="002B451B" w:rsidRDefault="000C7260" w:rsidP="008C2487">
      <w:pPr>
        <w:spacing w:after="0" w:line="276" w:lineRule="auto"/>
        <w:jc w:val="both"/>
      </w:pPr>
      <w:r w:rsidRPr="002B451B">
        <w:t xml:space="preserve">W ramach przygotowania SUMP, Wykonawca zobowiązany jest do przedstawienia planu promocji, obejmującego zarówno działania na etapie przygotowania dokumentu – których celem będzie </w:t>
      </w:r>
      <w:r w:rsidRPr="002B451B">
        <w:lastRenderedPageBreak/>
        <w:t>mobilizacja społeczeństwa do udziału w konsultacjach społecznych oraz po przygotowaniu dokumentu – w celu przekonywania do idei zrównoważonej mobilności.</w:t>
      </w:r>
    </w:p>
    <w:p w:rsidR="000C7260" w:rsidRPr="002B451B" w:rsidRDefault="000C7260" w:rsidP="008C2487">
      <w:pPr>
        <w:spacing w:after="0" w:line="276" w:lineRule="auto"/>
        <w:jc w:val="both"/>
      </w:pPr>
      <w:r w:rsidRPr="002B451B">
        <w:t>Metodyka Promocji planu powinna obejmować co najmniej</w:t>
      </w:r>
      <w:r w:rsidR="002B451B" w:rsidRPr="002B451B">
        <w:t xml:space="preserve"> </w:t>
      </w:r>
      <w:r w:rsidRPr="002B451B">
        <w:rPr>
          <w:rStyle w:val="NiebieskiZnak"/>
          <w:color w:val="auto"/>
        </w:rPr>
        <w:t>przygotowywanie materiałów na stronę internetową Zamawiającego</w:t>
      </w:r>
      <w:r w:rsidRPr="002B451B">
        <w:t>, pozwalającej zapoznać się z ideą i założeniami SUMP dla danego obszaru, zgłaszanie się do udziału w konsultacjach społecznych, przekazywanie uwag do aktualnie konsultowanych Produktów SUMP oraz zapoznanie się z Raportem Diagnostyczno-Strategicznym i Projektem SUMP;</w:t>
      </w:r>
    </w:p>
    <w:p w:rsidR="00697BA3" w:rsidRDefault="00697BA3" w:rsidP="008C2487">
      <w:pPr>
        <w:spacing w:after="0" w:line="276" w:lineRule="auto"/>
      </w:pPr>
    </w:p>
    <w:sectPr w:rsidR="00697BA3" w:rsidSect="00BB6854">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CA" w:rsidRDefault="00E649CA" w:rsidP="000C7260">
      <w:pPr>
        <w:spacing w:after="0" w:line="240" w:lineRule="auto"/>
      </w:pPr>
      <w:r>
        <w:separator/>
      </w:r>
    </w:p>
  </w:endnote>
  <w:endnote w:type="continuationSeparator" w:id="0">
    <w:p w:rsidR="00E649CA" w:rsidRDefault="00E649CA" w:rsidP="000C7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470326"/>
      <w:docPartObj>
        <w:docPartGallery w:val="Page Numbers (Bottom of Page)"/>
        <w:docPartUnique/>
      </w:docPartObj>
    </w:sdtPr>
    <w:sdtContent>
      <w:p w:rsidR="00E649CA" w:rsidRDefault="00E649CA">
        <w:pPr>
          <w:pStyle w:val="Stopka"/>
        </w:pPr>
        <w:fldSimple w:instr="PAGE   \* MERGEFORMAT">
          <w:r>
            <w:rPr>
              <w:noProof/>
            </w:rPr>
            <w:t>22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92133"/>
      <w:docPartObj>
        <w:docPartGallery w:val="Page Numbers (Bottom of Page)"/>
        <w:docPartUnique/>
      </w:docPartObj>
    </w:sdtPr>
    <w:sdtContent>
      <w:p w:rsidR="00E649CA" w:rsidRDefault="00E649CA" w:rsidP="00BB6854">
        <w:pPr>
          <w:pStyle w:val="Stopka"/>
          <w:jc w:val="right"/>
        </w:pPr>
        <w:fldSimple w:instr="PAGE   \* MERGEFORMAT">
          <w:r w:rsidR="00606232">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CA" w:rsidRDefault="00E649CA" w:rsidP="000C7260">
      <w:pPr>
        <w:spacing w:after="0" w:line="240" w:lineRule="auto"/>
      </w:pPr>
      <w:r>
        <w:separator/>
      </w:r>
    </w:p>
  </w:footnote>
  <w:footnote w:type="continuationSeparator" w:id="0">
    <w:p w:rsidR="00E649CA" w:rsidRDefault="00E649CA" w:rsidP="000C72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CA" w:rsidRPr="008C2FC7" w:rsidRDefault="00E649CA" w:rsidP="00BB6854">
    <w:pPr>
      <w:pStyle w:val="Nagwek"/>
      <w:jc w:val="right"/>
      <w:rPr>
        <w:i/>
      </w:rPr>
    </w:pPr>
    <w:r w:rsidRPr="008C2FC7">
      <w:rPr>
        <w:i/>
      </w:rPr>
      <w:t>Załącznik Nr 1 do Umowy</w:t>
    </w:r>
  </w:p>
  <w:p w:rsidR="00E649CA" w:rsidRDefault="00E649C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AAA"/>
    <w:multiLevelType w:val="hybridMultilevel"/>
    <w:tmpl w:val="1E1A0EBA"/>
    <w:lvl w:ilvl="0" w:tplc="76B0D778">
      <w:start w:val="1"/>
      <w:numFmt w:val="decimal"/>
      <w:lvlText w:val="%1."/>
      <w:lvlJc w:val="left"/>
      <w:pPr>
        <w:ind w:left="720" w:hanging="360"/>
      </w:pPr>
      <w:rPr>
        <w:rFonts w:hint="default"/>
        <w:b/>
      </w:rPr>
    </w:lvl>
    <w:lvl w:ilvl="1" w:tplc="9AD0CC84">
      <w:numFmt w:val="bullet"/>
      <w:lvlText w:val="•"/>
      <w:lvlJc w:val="left"/>
      <w:pPr>
        <w:ind w:left="1440" w:hanging="360"/>
      </w:pPr>
      <w:rPr>
        <w:rFonts w:ascii="Times New Roman" w:eastAsia="Times New Roman" w:hAnsi="Times New Roman" w:cs="Times New Roman" w:hint="default"/>
      </w:rPr>
    </w:lvl>
    <w:lvl w:ilvl="2" w:tplc="C270B580">
      <w:start w:val="1"/>
      <w:numFmt w:val="lowerLetter"/>
      <w:lvlText w:val="%3)"/>
      <w:lvlJc w:val="left"/>
      <w:pPr>
        <w:ind w:left="2355" w:hanging="375"/>
      </w:pPr>
      <w:rPr>
        <w:rFonts w:hint="default"/>
        <w:b/>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C96CB0"/>
    <w:multiLevelType w:val="hybridMultilevel"/>
    <w:tmpl w:val="E1249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92515C"/>
    <w:multiLevelType w:val="hybridMultilevel"/>
    <w:tmpl w:val="D6562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6D256E"/>
    <w:multiLevelType w:val="hybridMultilevel"/>
    <w:tmpl w:val="62282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CE51C3"/>
    <w:multiLevelType w:val="hybridMultilevel"/>
    <w:tmpl w:val="E5DE1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190440"/>
    <w:multiLevelType w:val="hybridMultilevel"/>
    <w:tmpl w:val="9B7A1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FD0610"/>
    <w:multiLevelType w:val="hybridMultilevel"/>
    <w:tmpl w:val="AA74D0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4B47600"/>
    <w:multiLevelType w:val="hybridMultilevel"/>
    <w:tmpl w:val="56FEB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7AD0A5E"/>
    <w:multiLevelType w:val="hybridMultilevel"/>
    <w:tmpl w:val="BFD4B1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7C7162"/>
    <w:multiLevelType w:val="hybridMultilevel"/>
    <w:tmpl w:val="02689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2A3AC9"/>
    <w:multiLevelType w:val="hybridMultilevel"/>
    <w:tmpl w:val="0596C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FB4B2C"/>
    <w:multiLevelType w:val="hybridMultilevel"/>
    <w:tmpl w:val="1B862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034E7A"/>
    <w:multiLevelType w:val="hybridMultilevel"/>
    <w:tmpl w:val="CA06D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1405C99"/>
    <w:multiLevelType w:val="hybridMultilevel"/>
    <w:tmpl w:val="66FEBF3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nsid w:val="261E07E9"/>
    <w:multiLevelType w:val="hybridMultilevel"/>
    <w:tmpl w:val="6554D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EB00A5"/>
    <w:multiLevelType w:val="hybridMultilevel"/>
    <w:tmpl w:val="15EC7CA8"/>
    <w:lvl w:ilvl="0" w:tplc="883CE0E4">
      <w:start w:val="4"/>
      <w:numFmt w:val="decimal"/>
      <w:lvlText w:val="%1"/>
      <w:lvlJc w:val="left"/>
      <w:pPr>
        <w:ind w:left="1868" w:hanging="360"/>
      </w:pPr>
      <w:rPr>
        <w:rFonts w:hint="default"/>
      </w:r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16">
    <w:nsid w:val="290F611D"/>
    <w:multiLevelType w:val="hybridMultilevel"/>
    <w:tmpl w:val="D6340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BB2E9E"/>
    <w:multiLevelType w:val="hybridMultilevel"/>
    <w:tmpl w:val="507AAF5C"/>
    <w:lvl w:ilvl="0" w:tplc="EC82C7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9CB118D"/>
    <w:multiLevelType w:val="hybridMultilevel"/>
    <w:tmpl w:val="E03E4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AEB2FB4"/>
    <w:multiLevelType w:val="hybridMultilevel"/>
    <w:tmpl w:val="78420E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2EB64B75"/>
    <w:multiLevelType w:val="hybridMultilevel"/>
    <w:tmpl w:val="265AB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0DF244B"/>
    <w:multiLevelType w:val="hybridMultilevel"/>
    <w:tmpl w:val="80F0E87E"/>
    <w:lvl w:ilvl="0" w:tplc="CCC4037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3D3A8C"/>
    <w:multiLevelType w:val="multilevel"/>
    <w:tmpl w:val="13D8BE96"/>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F06290"/>
    <w:multiLevelType w:val="hybridMultilevel"/>
    <w:tmpl w:val="019AA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D831B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18D0043"/>
    <w:multiLevelType w:val="hybridMultilevel"/>
    <w:tmpl w:val="FEBE5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4F771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FF3A66"/>
    <w:multiLevelType w:val="hybridMultilevel"/>
    <w:tmpl w:val="6DB8C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7170391"/>
    <w:multiLevelType w:val="hybridMultilevel"/>
    <w:tmpl w:val="DC122066"/>
    <w:lvl w:ilvl="0" w:tplc="2328288C">
      <w:start w:val="1"/>
      <w:numFmt w:val="decimal"/>
      <w:lvlText w:val="%1."/>
      <w:lvlJc w:val="left"/>
      <w:pPr>
        <w:ind w:left="1148" w:hanging="360"/>
      </w:pPr>
      <w:rPr>
        <w:rFonts w:hint="default"/>
      </w:rPr>
    </w:lvl>
    <w:lvl w:ilvl="1" w:tplc="04150019">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9">
    <w:nsid w:val="47E3081B"/>
    <w:multiLevelType w:val="hybridMultilevel"/>
    <w:tmpl w:val="38104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0F03E9"/>
    <w:multiLevelType w:val="hybridMultilevel"/>
    <w:tmpl w:val="4DE82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C8D75D7"/>
    <w:multiLevelType w:val="hybridMultilevel"/>
    <w:tmpl w:val="FF20F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0B67E7"/>
    <w:multiLevelType w:val="hybridMultilevel"/>
    <w:tmpl w:val="9864B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4B74A55"/>
    <w:multiLevelType w:val="hybridMultilevel"/>
    <w:tmpl w:val="34E6E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BC263B9"/>
    <w:multiLevelType w:val="hybridMultilevel"/>
    <w:tmpl w:val="01C40BDC"/>
    <w:lvl w:ilvl="0" w:tplc="070E1B68">
      <w:start w:val="1"/>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35">
    <w:nsid w:val="65F3746F"/>
    <w:multiLevelType w:val="hybridMultilevel"/>
    <w:tmpl w:val="F9DE5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8C35B1B"/>
    <w:multiLevelType w:val="hybridMultilevel"/>
    <w:tmpl w:val="D3A02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C4A16BB"/>
    <w:multiLevelType w:val="hybridMultilevel"/>
    <w:tmpl w:val="86667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D82B7C"/>
    <w:multiLevelType w:val="hybridMultilevel"/>
    <w:tmpl w:val="DED63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AE4364"/>
    <w:multiLevelType w:val="hybridMultilevel"/>
    <w:tmpl w:val="3C6EA16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0">
    <w:nsid w:val="6FDC22C3"/>
    <w:multiLevelType w:val="hybridMultilevel"/>
    <w:tmpl w:val="A9A23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BA67AA"/>
    <w:multiLevelType w:val="hybridMultilevel"/>
    <w:tmpl w:val="57305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4C755A7"/>
    <w:multiLevelType w:val="hybridMultilevel"/>
    <w:tmpl w:val="454E533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830172E"/>
    <w:multiLevelType w:val="hybridMultilevel"/>
    <w:tmpl w:val="14FA3CE2"/>
    <w:lvl w:ilvl="0" w:tplc="26AAC8F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DEB690F"/>
    <w:multiLevelType w:val="hybridMultilevel"/>
    <w:tmpl w:val="5464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6"/>
  </w:num>
  <w:num w:numId="4">
    <w:abstractNumId w:val="20"/>
  </w:num>
  <w:num w:numId="5">
    <w:abstractNumId w:val="21"/>
  </w:num>
  <w:num w:numId="6">
    <w:abstractNumId w:val="40"/>
  </w:num>
  <w:num w:numId="7">
    <w:abstractNumId w:val="32"/>
  </w:num>
  <w:num w:numId="8">
    <w:abstractNumId w:val="5"/>
  </w:num>
  <w:num w:numId="9">
    <w:abstractNumId w:val="14"/>
  </w:num>
  <w:num w:numId="10">
    <w:abstractNumId w:val="35"/>
  </w:num>
  <w:num w:numId="11">
    <w:abstractNumId w:val="9"/>
  </w:num>
  <w:num w:numId="12">
    <w:abstractNumId w:val="33"/>
  </w:num>
  <w:num w:numId="13">
    <w:abstractNumId w:val="4"/>
  </w:num>
  <w:num w:numId="14">
    <w:abstractNumId w:val="23"/>
  </w:num>
  <w:num w:numId="15">
    <w:abstractNumId w:val="42"/>
  </w:num>
  <w:num w:numId="16">
    <w:abstractNumId w:val="39"/>
  </w:num>
  <w:num w:numId="17">
    <w:abstractNumId w:val="13"/>
  </w:num>
  <w:num w:numId="18">
    <w:abstractNumId w:val="29"/>
  </w:num>
  <w:num w:numId="19">
    <w:abstractNumId w:val="6"/>
  </w:num>
  <w:num w:numId="20">
    <w:abstractNumId w:val="31"/>
  </w:num>
  <w:num w:numId="21">
    <w:abstractNumId w:val="30"/>
  </w:num>
  <w:num w:numId="22">
    <w:abstractNumId w:val="2"/>
  </w:num>
  <w:num w:numId="23">
    <w:abstractNumId w:val="3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41"/>
  </w:num>
  <w:num w:numId="28">
    <w:abstractNumId w:val="12"/>
  </w:num>
  <w:num w:numId="29">
    <w:abstractNumId w:val="25"/>
  </w:num>
  <w:num w:numId="30">
    <w:abstractNumId w:val="16"/>
  </w:num>
  <w:num w:numId="31">
    <w:abstractNumId w:val="44"/>
  </w:num>
  <w:num w:numId="32">
    <w:abstractNumId w:val="3"/>
  </w:num>
  <w:num w:numId="33">
    <w:abstractNumId w:val="37"/>
  </w:num>
  <w:num w:numId="34">
    <w:abstractNumId w:val="7"/>
  </w:num>
  <w:num w:numId="35">
    <w:abstractNumId w:val="8"/>
  </w:num>
  <w:num w:numId="36">
    <w:abstractNumId w:val="38"/>
  </w:num>
  <w:num w:numId="37">
    <w:abstractNumId w:val="43"/>
  </w:num>
  <w:num w:numId="38">
    <w:abstractNumId w:val="27"/>
  </w:num>
  <w:num w:numId="39">
    <w:abstractNumId w:val="10"/>
  </w:num>
  <w:num w:numId="40">
    <w:abstractNumId w:val="19"/>
  </w:num>
  <w:num w:numId="41">
    <w:abstractNumId w:val="1"/>
  </w:num>
  <w:num w:numId="42">
    <w:abstractNumId w:val="34"/>
  </w:num>
  <w:num w:numId="43">
    <w:abstractNumId w:val="0"/>
  </w:num>
  <w:num w:numId="44">
    <w:abstractNumId w:val="17"/>
  </w:num>
  <w:num w:numId="45">
    <w:abstractNumId w:val="28"/>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C7260"/>
    <w:rsid w:val="000C7260"/>
    <w:rsid w:val="00105815"/>
    <w:rsid w:val="00162080"/>
    <w:rsid w:val="00174950"/>
    <w:rsid w:val="00183615"/>
    <w:rsid w:val="0018576C"/>
    <w:rsid w:val="0024615A"/>
    <w:rsid w:val="002B451B"/>
    <w:rsid w:val="0030102D"/>
    <w:rsid w:val="003405D5"/>
    <w:rsid w:val="00451A5D"/>
    <w:rsid w:val="00532FB4"/>
    <w:rsid w:val="00606232"/>
    <w:rsid w:val="00697BA3"/>
    <w:rsid w:val="006A0126"/>
    <w:rsid w:val="00722D88"/>
    <w:rsid w:val="00811C0A"/>
    <w:rsid w:val="008C2487"/>
    <w:rsid w:val="009006AC"/>
    <w:rsid w:val="0090747A"/>
    <w:rsid w:val="009A43CF"/>
    <w:rsid w:val="00AC5BB2"/>
    <w:rsid w:val="00AE4635"/>
    <w:rsid w:val="00AF6105"/>
    <w:rsid w:val="00BB6854"/>
    <w:rsid w:val="00C6477C"/>
    <w:rsid w:val="00CA307C"/>
    <w:rsid w:val="00D224A3"/>
    <w:rsid w:val="00E649CA"/>
    <w:rsid w:val="00F07312"/>
    <w:rsid w:val="00F0733E"/>
    <w:rsid w:val="00F15D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260"/>
    <w:pPr>
      <w:spacing w:after="160" w:line="259" w:lineRule="auto"/>
    </w:pPr>
  </w:style>
  <w:style w:type="paragraph" w:styleId="Nagwek1">
    <w:name w:val="heading 1"/>
    <w:basedOn w:val="Normalny"/>
    <w:next w:val="Normalny"/>
    <w:link w:val="Nagwek1Znak"/>
    <w:uiPriority w:val="9"/>
    <w:qFormat/>
    <w:rsid w:val="000C7260"/>
    <w:pPr>
      <w:keepNext/>
      <w:keepLines/>
      <w:numPr>
        <w:numId w:val="1"/>
      </w:numPr>
      <w:spacing w:before="240" w:after="240"/>
      <w:ind w:left="357" w:hanging="357"/>
      <w:outlineLvl w:val="0"/>
    </w:pPr>
    <w:rPr>
      <w:rFonts w:asciiTheme="majorHAnsi" w:eastAsiaTheme="majorEastAsia" w:hAnsiTheme="majorHAnsi" w:cstheme="majorBidi"/>
      <w:color w:val="215868" w:themeColor="accent5" w:themeShade="80"/>
      <w:sz w:val="32"/>
      <w:szCs w:val="32"/>
    </w:rPr>
  </w:style>
  <w:style w:type="paragraph" w:styleId="Nagwek2">
    <w:name w:val="heading 2"/>
    <w:basedOn w:val="Normalny"/>
    <w:next w:val="Normalny"/>
    <w:link w:val="Nagwek2Znak"/>
    <w:uiPriority w:val="9"/>
    <w:unhideWhenUsed/>
    <w:qFormat/>
    <w:rsid w:val="000C7260"/>
    <w:pPr>
      <w:keepNext/>
      <w:keepLines/>
      <w:numPr>
        <w:ilvl w:val="1"/>
        <w:numId w:val="1"/>
      </w:numPr>
      <w:spacing w:before="40" w:after="120"/>
      <w:ind w:left="788" w:hanging="431"/>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C72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7260"/>
    <w:rPr>
      <w:rFonts w:asciiTheme="majorHAnsi" w:eastAsiaTheme="majorEastAsia" w:hAnsiTheme="majorHAnsi" w:cstheme="majorBidi"/>
      <w:color w:val="215868" w:themeColor="accent5" w:themeShade="80"/>
      <w:sz w:val="32"/>
      <w:szCs w:val="32"/>
    </w:rPr>
  </w:style>
  <w:style w:type="character" w:customStyle="1" w:styleId="Nagwek2Znak">
    <w:name w:val="Nagłówek 2 Znak"/>
    <w:basedOn w:val="Domylnaczcionkaakapitu"/>
    <w:link w:val="Nagwek2"/>
    <w:uiPriority w:val="9"/>
    <w:rsid w:val="000C7260"/>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0C7260"/>
    <w:rPr>
      <w:rFonts w:asciiTheme="majorHAnsi" w:eastAsiaTheme="majorEastAsia" w:hAnsiTheme="majorHAnsi" w:cstheme="majorBidi"/>
      <w:color w:val="243F60" w:themeColor="accent1" w:themeShade="7F"/>
      <w:sz w:val="24"/>
      <w:szCs w:val="24"/>
    </w:rPr>
  </w:style>
  <w:style w:type="table" w:styleId="Tabela-Siatka">
    <w:name w:val="Table Grid"/>
    <w:basedOn w:val="Standardowy"/>
    <w:uiPriority w:val="39"/>
    <w:rsid w:val="000C7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ebieski">
    <w:name w:val="Niebieski"/>
    <w:basedOn w:val="Normalny"/>
    <w:link w:val="NiebieskiZnak"/>
    <w:qFormat/>
    <w:rsid w:val="000C7260"/>
    <w:pPr>
      <w:spacing w:after="120" w:line="276" w:lineRule="auto"/>
      <w:jc w:val="both"/>
    </w:pPr>
    <w:rPr>
      <w:color w:val="215868" w:themeColor="accent5" w:themeShade="80"/>
    </w:rPr>
  </w:style>
  <w:style w:type="paragraph" w:customStyle="1" w:styleId="Wykrzyknik">
    <w:name w:val="Wykrzyknik"/>
    <w:basedOn w:val="Niebieski"/>
    <w:link w:val="WykrzyknikZnak"/>
    <w:qFormat/>
    <w:rsid w:val="000C7260"/>
    <w:pPr>
      <w:jc w:val="center"/>
    </w:pPr>
    <w:rPr>
      <w:sz w:val="60"/>
      <w:szCs w:val="60"/>
    </w:rPr>
  </w:style>
  <w:style w:type="character" w:customStyle="1" w:styleId="NiebieskiZnak">
    <w:name w:val="Niebieski Znak"/>
    <w:basedOn w:val="Domylnaczcionkaakapitu"/>
    <w:link w:val="Niebieski"/>
    <w:rsid w:val="000C7260"/>
    <w:rPr>
      <w:color w:val="215868" w:themeColor="accent5" w:themeShade="80"/>
    </w:rPr>
  </w:style>
  <w:style w:type="paragraph" w:customStyle="1" w:styleId="Czarny">
    <w:name w:val="Czarny"/>
    <w:basedOn w:val="Niebieski"/>
    <w:link w:val="CzarnyZnak"/>
    <w:qFormat/>
    <w:rsid w:val="000C7260"/>
    <w:rPr>
      <w:color w:val="auto"/>
    </w:rPr>
  </w:style>
  <w:style w:type="character" w:customStyle="1" w:styleId="WykrzyknikZnak">
    <w:name w:val="Wykrzyknik Znak"/>
    <w:basedOn w:val="NiebieskiZnak"/>
    <w:link w:val="Wykrzyknik"/>
    <w:rsid w:val="000C7260"/>
    <w:rPr>
      <w:sz w:val="60"/>
      <w:szCs w:val="60"/>
    </w:rPr>
  </w:style>
  <w:style w:type="character" w:customStyle="1" w:styleId="CzarnyZnak">
    <w:name w:val="Czarny Znak"/>
    <w:basedOn w:val="NiebieskiZnak"/>
    <w:link w:val="Czarny"/>
    <w:rsid w:val="000C7260"/>
  </w:style>
  <w:style w:type="paragraph" w:styleId="Tekstdymka">
    <w:name w:val="Balloon Text"/>
    <w:basedOn w:val="Normalny"/>
    <w:link w:val="TekstdymkaZnak"/>
    <w:uiPriority w:val="99"/>
    <w:semiHidden/>
    <w:unhideWhenUsed/>
    <w:rsid w:val="000C72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260"/>
    <w:rPr>
      <w:rFonts w:ascii="Segoe UI" w:hAnsi="Segoe UI" w:cs="Segoe UI"/>
      <w:sz w:val="18"/>
      <w:szCs w:val="18"/>
    </w:rPr>
  </w:style>
  <w:style w:type="paragraph" w:styleId="Akapitzlist">
    <w:name w:val="List Paragraph"/>
    <w:basedOn w:val="Normalny"/>
    <w:link w:val="AkapitzlistZnak"/>
    <w:uiPriority w:val="34"/>
    <w:qFormat/>
    <w:rsid w:val="000C7260"/>
    <w:pPr>
      <w:ind w:left="720"/>
      <w:contextualSpacing/>
    </w:pPr>
  </w:style>
  <w:style w:type="character" w:styleId="Odwoaniedokomentarza">
    <w:name w:val="annotation reference"/>
    <w:basedOn w:val="Domylnaczcionkaakapitu"/>
    <w:uiPriority w:val="99"/>
    <w:semiHidden/>
    <w:unhideWhenUsed/>
    <w:rsid w:val="000C7260"/>
    <w:rPr>
      <w:sz w:val="16"/>
      <w:szCs w:val="16"/>
    </w:rPr>
  </w:style>
  <w:style w:type="paragraph" w:styleId="Tekstkomentarza">
    <w:name w:val="annotation text"/>
    <w:basedOn w:val="Normalny"/>
    <w:link w:val="TekstkomentarzaZnak"/>
    <w:uiPriority w:val="99"/>
    <w:unhideWhenUsed/>
    <w:rsid w:val="000C7260"/>
    <w:pPr>
      <w:spacing w:line="240" w:lineRule="auto"/>
    </w:pPr>
    <w:rPr>
      <w:sz w:val="20"/>
      <w:szCs w:val="20"/>
    </w:rPr>
  </w:style>
  <w:style w:type="character" w:customStyle="1" w:styleId="TekstkomentarzaZnak">
    <w:name w:val="Tekst komentarza Znak"/>
    <w:basedOn w:val="Domylnaczcionkaakapitu"/>
    <w:link w:val="Tekstkomentarza"/>
    <w:uiPriority w:val="99"/>
    <w:rsid w:val="000C7260"/>
    <w:rPr>
      <w:sz w:val="20"/>
      <w:szCs w:val="20"/>
    </w:rPr>
  </w:style>
  <w:style w:type="paragraph" w:styleId="Tematkomentarza">
    <w:name w:val="annotation subject"/>
    <w:basedOn w:val="Tekstkomentarza"/>
    <w:next w:val="Tekstkomentarza"/>
    <w:link w:val="TematkomentarzaZnak"/>
    <w:uiPriority w:val="99"/>
    <w:semiHidden/>
    <w:unhideWhenUsed/>
    <w:rsid w:val="000C7260"/>
    <w:rPr>
      <w:b/>
      <w:bCs/>
    </w:rPr>
  </w:style>
  <w:style w:type="character" w:customStyle="1" w:styleId="TematkomentarzaZnak">
    <w:name w:val="Temat komentarza Znak"/>
    <w:basedOn w:val="TekstkomentarzaZnak"/>
    <w:link w:val="Tematkomentarza"/>
    <w:uiPriority w:val="99"/>
    <w:semiHidden/>
    <w:rsid w:val="000C7260"/>
    <w:rPr>
      <w:b/>
      <w:bCs/>
    </w:rPr>
  </w:style>
  <w:style w:type="paragraph" w:styleId="Poprawka">
    <w:name w:val="Revision"/>
    <w:hidden/>
    <w:uiPriority w:val="99"/>
    <w:semiHidden/>
    <w:rsid w:val="000C7260"/>
    <w:pPr>
      <w:spacing w:after="0" w:line="240" w:lineRule="auto"/>
    </w:pPr>
  </w:style>
  <w:style w:type="character" w:styleId="Hipercze">
    <w:name w:val="Hyperlink"/>
    <w:basedOn w:val="Domylnaczcionkaakapitu"/>
    <w:uiPriority w:val="99"/>
    <w:unhideWhenUsed/>
    <w:rsid w:val="000C7260"/>
    <w:rPr>
      <w:color w:val="0000FF" w:themeColor="hyperlink"/>
      <w:u w:val="single"/>
    </w:rPr>
  </w:style>
  <w:style w:type="character" w:customStyle="1" w:styleId="Nierozpoznanawzmianka1">
    <w:name w:val="Nierozpoznana wzmianka1"/>
    <w:basedOn w:val="Domylnaczcionkaakapitu"/>
    <w:uiPriority w:val="99"/>
    <w:semiHidden/>
    <w:unhideWhenUsed/>
    <w:rsid w:val="000C7260"/>
    <w:rPr>
      <w:color w:val="605E5C"/>
      <w:shd w:val="clear" w:color="auto" w:fill="E1DFDD"/>
    </w:rPr>
  </w:style>
  <w:style w:type="paragraph" w:styleId="Tekstprzypisukocowego">
    <w:name w:val="endnote text"/>
    <w:basedOn w:val="Normalny"/>
    <w:link w:val="TekstprzypisukocowegoZnak"/>
    <w:uiPriority w:val="99"/>
    <w:semiHidden/>
    <w:unhideWhenUsed/>
    <w:rsid w:val="000C72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7260"/>
    <w:rPr>
      <w:sz w:val="20"/>
      <w:szCs w:val="20"/>
    </w:rPr>
  </w:style>
  <w:style w:type="character" w:styleId="Odwoanieprzypisukocowego">
    <w:name w:val="endnote reference"/>
    <w:basedOn w:val="Domylnaczcionkaakapitu"/>
    <w:uiPriority w:val="99"/>
    <w:semiHidden/>
    <w:unhideWhenUsed/>
    <w:rsid w:val="000C7260"/>
    <w:rPr>
      <w:vertAlign w:val="superscript"/>
    </w:rPr>
  </w:style>
  <w:style w:type="character" w:styleId="UyteHipercze">
    <w:name w:val="FollowedHyperlink"/>
    <w:basedOn w:val="Domylnaczcionkaakapitu"/>
    <w:uiPriority w:val="99"/>
    <w:semiHidden/>
    <w:unhideWhenUsed/>
    <w:rsid w:val="000C7260"/>
    <w:rPr>
      <w:color w:val="800080" w:themeColor="followedHyperlink"/>
      <w:u w:val="single"/>
    </w:rPr>
  </w:style>
  <w:style w:type="character" w:customStyle="1" w:styleId="e24kjd">
    <w:name w:val="e24kjd"/>
    <w:basedOn w:val="Domylnaczcionkaakapitu"/>
    <w:rsid w:val="000C7260"/>
  </w:style>
  <w:style w:type="character" w:customStyle="1" w:styleId="Nierozpoznanawzmianka2">
    <w:name w:val="Nierozpoznana wzmianka2"/>
    <w:basedOn w:val="Domylnaczcionkaakapitu"/>
    <w:uiPriority w:val="99"/>
    <w:semiHidden/>
    <w:unhideWhenUsed/>
    <w:rsid w:val="000C7260"/>
    <w:rPr>
      <w:color w:val="605E5C"/>
      <w:shd w:val="clear" w:color="auto" w:fill="E1DFDD"/>
    </w:rPr>
  </w:style>
  <w:style w:type="paragraph" w:styleId="Nagwekspisutreci">
    <w:name w:val="TOC Heading"/>
    <w:basedOn w:val="Nagwek1"/>
    <w:next w:val="Normalny"/>
    <w:uiPriority w:val="39"/>
    <w:unhideWhenUsed/>
    <w:qFormat/>
    <w:rsid w:val="000C7260"/>
    <w:pPr>
      <w:numPr>
        <w:numId w:val="0"/>
      </w:numPr>
      <w:spacing w:after="0"/>
      <w:outlineLvl w:val="9"/>
    </w:pPr>
    <w:rPr>
      <w:color w:val="365F91" w:themeColor="accent1" w:themeShade="BF"/>
      <w:lang w:eastAsia="pl-PL"/>
    </w:rPr>
  </w:style>
  <w:style w:type="paragraph" w:styleId="Spistreci1">
    <w:name w:val="toc 1"/>
    <w:basedOn w:val="Normalny"/>
    <w:next w:val="Normalny"/>
    <w:autoRedefine/>
    <w:uiPriority w:val="39"/>
    <w:unhideWhenUsed/>
    <w:rsid w:val="000C7260"/>
    <w:pPr>
      <w:spacing w:after="100"/>
    </w:pPr>
  </w:style>
  <w:style w:type="paragraph" w:styleId="Spistreci2">
    <w:name w:val="toc 2"/>
    <w:basedOn w:val="Normalny"/>
    <w:next w:val="Normalny"/>
    <w:autoRedefine/>
    <w:uiPriority w:val="39"/>
    <w:unhideWhenUsed/>
    <w:rsid w:val="000C7260"/>
    <w:pPr>
      <w:spacing w:after="100"/>
      <w:ind w:left="220"/>
    </w:pPr>
  </w:style>
  <w:style w:type="paragraph" w:styleId="Tekstprzypisudolnego">
    <w:name w:val="footnote text"/>
    <w:basedOn w:val="Normalny"/>
    <w:link w:val="TekstprzypisudolnegoZnak"/>
    <w:uiPriority w:val="99"/>
    <w:semiHidden/>
    <w:unhideWhenUsed/>
    <w:rsid w:val="000C72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7260"/>
    <w:rPr>
      <w:sz w:val="20"/>
      <w:szCs w:val="20"/>
    </w:rPr>
  </w:style>
  <w:style w:type="character" w:styleId="Odwoanieprzypisudolnego">
    <w:name w:val="footnote reference"/>
    <w:basedOn w:val="Domylnaczcionkaakapitu"/>
    <w:uiPriority w:val="99"/>
    <w:semiHidden/>
    <w:unhideWhenUsed/>
    <w:rsid w:val="000C7260"/>
    <w:rPr>
      <w:vertAlign w:val="superscript"/>
    </w:rPr>
  </w:style>
  <w:style w:type="paragraph" w:styleId="Legenda">
    <w:name w:val="caption"/>
    <w:basedOn w:val="Normalny"/>
    <w:next w:val="Normalny"/>
    <w:uiPriority w:val="35"/>
    <w:unhideWhenUsed/>
    <w:qFormat/>
    <w:rsid w:val="000C7260"/>
    <w:pPr>
      <w:spacing w:after="200" w:line="240" w:lineRule="auto"/>
    </w:pPr>
    <w:rPr>
      <w:i/>
      <w:iCs/>
      <w:color w:val="1F497D" w:themeColor="text2"/>
      <w:sz w:val="18"/>
      <w:szCs w:val="18"/>
    </w:rPr>
  </w:style>
  <w:style w:type="paragraph" w:styleId="Stopka">
    <w:name w:val="footer"/>
    <w:basedOn w:val="Normalny"/>
    <w:link w:val="StopkaZnak"/>
    <w:uiPriority w:val="99"/>
    <w:unhideWhenUsed/>
    <w:rsid w:val="000C72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260"/>
  </w:style>
  <w:style w:type="character" w:styleId="Numerstrony">
    <w:name w:val="page number"/>
    <w:basedOn w:val="Domylnaczcionkaakapitu"/>
    <w:uiPriority w:val="99"/>
    <w:semiHidden/>
    <w:unhideWhenUsed/>
    <w:rsid w:val="000C7260"/>
  </w:style>
  <w:style w:type="table" w:customStyle="1" w:styleId="Tabela-Siatka1">
    <w:name w:val="Tabela - Siatka1"/>
    <w:basedOn w:val="Standardowy"/>
    <w:next w:val="Tabela-Siatka"/>
    <w:uiPriority w:val="39"/>
    <w:rsid w:val="000C7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C72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260"/>
  </w:style>
  <w:style w:type="character" w:customStyle="1" w:styleId="AkapitzlistZnak">
    <w:name w:val="Akapit z listą Znak"/>
    <w:basedOn w:val="Domylnaczcionkaakapitu"/>
    <w:link w:val="Akapitzlist"/>
    <w:uiPriority w:val="34"/>
    <w:locked/>
    <w:rsid w:val="000C7260"/>
  </w:style>
  <w:style w:type="character" w:customStyle="1" w:styleId="Nierozpoznanawzmianka3">
    <w:name w:val="Nierozpoznana wzmianka3"/>
    <w:basedOn w:val="Domylnaczcionkaakapitu"/>
    <w:uiPriority w:val="99"/>
    <w:semiHidden/>
    <w:unhideWhenUsed/>
    <w:rsid w:val="000C7260"/>
    <w:rPr>
      <w:color w:val="605E5C"/>
      <w:shd w:val="clear" w:color="auto" w:fill="E1DFDD"/>
    </w:rPr>
  </w:style>
  <w:style w:type="table" w:customStyle="1" w:styleId="GridTableLight">
    <w:name w:val="Grid Table Light"/>
    <w:basedOn w:val="Standardowy"/>
    <w:uiPriority w:val="40"/>
    <w:rsid w:val="000C72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Standardowy"/>
    <w:uiPriority w:val="41"/>
    <w:rsid w:val="000C726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rzxr">
    <w:name w:val="lrzxr"/>
    <w:basedOn w:val="Domylnaczcionkaakapitu"/>
    <w:rsid w:val="000C7260"/>
  </w:style>
  <w:style w:type="character" w:styleId="Pogrubienie">
    <w:name w:val="Strong"/>
    <w:basedOn w:val="Domylnaczcionkaakapitu"/>
    <w:uiPriority w:val="22"/>
    <w:qFormat/>
    <w:rsid w:val="000C7260"/>
    <w:rPr>
      <w:b/>
      <w:bCs/>
    </w:rPr>
  </w:style>
  <w:style w:type="character" w:customStyle="1" w:styleId="markedcontent">
    <w:name w:val="markedcontent"/>
    <w:basedOn w:val="Domylnaczcionkaakapitu"/>
    <w:rsid w:val="000C7260"/>
  </w:style>
  <w:style w:type="character" w:customStyle="1" w:styleId="highlight">
    <w:name w:val="highlight"/>
    <w:basedOn w:val="Domylnaczcionkaakapitu"/>
    <w:rsid w:val="000C7260"/>
  </w:style>
  <w:style w:type="character" w:styleId="Uwydatnienie">
    <w:name w:val="Emphasis"/>
    <w:basedOn w:val="Domylnaczcionkaakapitu"/>
    <w:uiPriority w:val="20"/>
    <w:qFormat/>
    <w:rsid w:val="000C7260"/>
    <w:rPr>
      <w:i/>
      <w:iCs/>
    </w:rPr>
  </w:style>
  <w:style w:type="table" w:customStyle="1" w:styleId="TableNormal">
    <w:name w:val="Table Normal"/>
    <w:uiPriority w:val="2"/>
    <w:semiHidden/>
    <w:unhideWhenUsed/>
    <w:qFormat/>
    <w:rsid w:val="000C7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C7260"/>
    <w:pPr>
      <w:widowControl w:val="0"/>
      <w:autoSpaceDE w:val="0"/>
      <w:autoSpaceDN w:val="0"/>
      <w:spacing w:after="0" w:line="240" w:lineRule="auto"/>
    </w:pPr>
    <w:rPr>
      <w:rFonts w:ascii="Calibri" w:eastAsia="Calibri" w:hAnsi="Calibri" w:cs="Calibri"/>
    </w:rPr>
  </w:style>
  <w:style w:type="character" w:customStyle="1" w:styleId="TekstpodstawowyZnak">
    <w:name w:val="Tekst podstawowy Znak"/>
    <w:basedOn w:val="Domylnaczcionkaakapitu"/>
    <w:link w:val="Tekstpodstawowy"/>
    <w:uiPriority w:val="1"/>
    <w:rsid w:val="000C7260"/>
    <w:rPr>
      <w:rFonts w:ascii="Calibri" w:eastAsia="Calibri" w:hAnsi="Calibri" w:cs="Calibri"/>
    </w:rPr>
  </w:style>
  <w:style w:type="paragraph" w:customStyle="1" w:styleId="Heading3">
    <w:name w:val="Heading 3"/>
    <w:basedOn w:val="Normalny"/>
    <w:uiPriority w:val="1"/>
    <w:qFormat/>
    <w:rsid w:val="000C7260"/>
    <w:pPr>
      <w:widowControl w:val="0"/>
      <w:autoSpaceDE w:val="0"/>
      <w:autoSpaceDN w:val="0"/>
      <w:spacing w:before="37" w:after="0" w:line="240" w:lineRule="auto"/>
      <w:ind w:left="236"/>
      <w:jc w:val="both"/>
      <w:outlineLvl w:val="3"/>
    </w:pPr>
    <w:rPr>
      <w:rFonts w:ascii="Calibri" w:eastAsia="Calibri" w:hAnsi="Calibri" w:cs="Calibri"/>
      <w:b/>
      <w:bCs/>
    </w:rPr>
  </w:style>
  <w:style w:type="paragraph" w:customStyle="1" w:styleId="TableParagraph">
    <w:name w:val="Table Paragraph"/>
    <w:basedOn w:val="Normalny"/>
    <w:uiPriority w:val="1"/>
    <w:qFormat/>
    <w:rsid w:val="000C7260"/>
    <w:pPr>
      <w:widowControl w:val="0"/>
      <w:autoSpaceDE w:val="0"/>
      <w:autoSpaceDN w:val="0"/>
      <w:spacing w:after="0" w:line="240" w:lineRule="auto"/>
    </w:pPr>
    <w:rPr>
      <w:rFonts w:ascii="Calibri" w:eastAsia="Calibri" w:hAnsi="Calibri" w:cs="Calibri"/>
    </w:rPr>
  </w:style>
  <w:style w:type="paragraph" w:customStyle="1" w:styleId="Heading1">
    <w:name w:val="Heading 1"/>
    <w:basedOn w:val="Normalny"/>
    <w:uiPriority w:val="1"/>
    <w:qFormat/>
    <w:rsid w:val="000C7260"/>
    <w:pPr>
      <w:widowControl w:val="0"/>
      <w:autoSpaceDE w:val="0"/>
      <w:autoSpaceDN w:val="0"/>
      <w:spacing w:before="110" w:after="0" w:line="240" w:lineRule="auto"/>
      <w:ind w:left="270"/>
      <w:outlineLvl w:val="1"/>
    </w:pPr>
    <w:rPr>
      <w:rFonts w:ascii="Calibri" w:eastAsia="Calibri" w:hAnsi="Calibri" w:cs="Calibri"/>
      <w:b/>
      <w:bCs/>
      <w:sz w:val="72"/>
      <w:szCs w:val="7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tis.org/sites/default/files/sump-guidelines-2019_mediumr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etokrzyskie.pro/file/2021/04/Zalacznik-II_do-Strategii_Obszary-realizacji-projektow-i-przedsiewziecia-strategiczn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is.gov.pl/media/72913/SMG_Ekspert_Civitas_Prosperity_Poradnik_2019_03_18_podglad_v1.pdf" TargetMode="External"/><Relationship Id="rId4" Type="http://schemas.openxmlformats.org/officeDocument/2006/relationships/settings" Target="settings.xml"/><Relationship Id="rId9" Type="http://schemas.openxmlformats.org/officeDocument/2006/relationships/hyperlink" Target="https://www.eltis.org/sites/default/files/sump-annex_final_highres_0.pdf"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C8E5B-EB60-4847-9C3D-7C46B0A2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2277</Words>
  <Characters>13668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mkocia</dc:creator>
  <cp:keywords/>
  <dc:description/>
  <cp:lastModifiedBy>mkocia</cp:lastModifiedBy>
  <cp:revision>26</cp:revision>
  <dcterms:created xsi:type="dcterms:W3CDTF">2021-12-28T09:54:00Z</dcterms:created>
  <dcterms:modified xsi:type="dcterms:W3CDTF">2021-12-29T14:17:00Z</dcterms:modified>
</cp:coreProperties>
</file>