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6E" w:rsidRPr="00F1796E" w:rsidRDefault="00F1796E" w:rsidP="00F179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179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OGŁOSZENIE DOTYCZĄCE PETYCJI WIELOKROTNEJ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INTERESIE PUBLICZNYM </w:t>
      </w:r>
      <w:r w:rsidRPr="00F179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MASOWYCH SZCZEPIEŃ PRZECIWKO WIRUSOWI COVID-19 PLANOWANYCH OD 2021 ROKU.</w:t>
      </w:r>
    </w:p>
    <w:p w:rsidR="00F1796E" w:rsidRPr="00F1796E" w:rsidRDefault="00F1796E" w:rsidP="00F1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6E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PETYCJA WIELOKROTNA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79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MASOWYCH SZCZEPIEŃ PRZECIWKO WIRUSOWI COVID-19 PLANOWANYCH OD 2021 ROKU.</w:t>
      </w:r>
    </w:p>
    <w:p w:rsidR="00F1796E" w:rsidRPr="00F1796E" w:rsidRDefault="00F1796E" w:rsidP="008A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15 grudnia 2020</w:t>
      </w:r>
      <w:r w:rsidRPr="00F17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za pośrednictwem poczty elektronicznej wpływają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Miasta Skarżyska-Kamiennej </w:t>
      </w:r>
      <w:r w:rsidRPr="00F1796E">
        <w:rPr>
          <w:rFonts w:ascii="Times New Roman" w:eastAsia="Times New Roman" w:hAnsi="Times New Roman" w:cs="Times New Roman"/>
          <w:sz w:val="24"/>
          <w:szCs w:val="24"/>
          <w:lang w:eastAsia="pl-PL"/>
        </w:rPr>
        <w:t>od osób fizycznych petycje w rozumieniu przepisów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7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11 lipca 2014 r. o petycjach (Dz. U. z 2014 r. poz. 1195 ze zm.) zawierające postulat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przez Rząd RP pisemnych gwarancji ze strony producentów szczepionek, że w przypadku jakichkolwiek powikłań gotowi są oni przyjąć i ponieść wszelkie koszta</w:t>
      </w:r>
      <w:r w:rsidR="008A0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prawne i finansowe wystąpienia niepożądanych odczynów poszczepiennych.</w:t>
      </w:r>
    </w:p>
    <w:p w:rsidR="00F1796E" w:rsidRPr="00F1796E" w:rsidRDefault="00F1796E" w:rsidP="008A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6E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tożsamość zagadnienia podnoszone</w:t>
      </w:r>
      <w:r w:rsidR="008A0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w ww. petycjach, zostały one </w:t>
      </w:r>
      <w:r w:rsidRPr="00F1796E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zakwalifikowane, jako petycja wielokrotna w rozumieniu art. 11 ust. 1 ustawy z dnia 11 lipca 2014 r. o petycjach oraz zarządzono łączne ich rozpoznanie. </w:t>
      </w:r>
    </w:p>
    <w:p w:rsidR="00F1796E" w:rsidRPr="00F1796E" w:rsidRDefault="00F1796E" w:rsidP="008A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6E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11 ust. 2 ustawy z dnia 11 lipca 2014 r. o petycjach ogłasza się, że okres oczekiwania na dalsze petycje dotyczące tej samej sprawy wynosi 1 miesiąc od dnia opublikowania niniejszego ogłoszenia. Bieg terminu rozpatrzenia petycji wielokrotnej będzie liczył się od dnia upływu okresu, o którym mowa w zdaniu poprzednim.</w:t>
      </w:r>
    </w:p>
    <w:p w:rsidR="00F1796E" w:rsidRPr="00F1796E" w:rsidRDefault="00F1796E" w:rsidP="008A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6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art. 11 ust. 4 ustawy z dnia 11 lipca 2014 r. o petycjach, sposób załatwienia petycji zostanie ogłoszony na niniejszej stronie, co zastąpi zawiadomienie o sposobie załatwienia petycji, o którym mowa w art. 13 ust. 1 ww. ustawy.</w:t>
      </w:r>
    </w:p>
    <w:p w:rsidR="0080119D" w:rsidRPr="00F1796E" w:rsidRDefault="0080119D" w:rsidP="00F179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119D" w:rsidRPr="00F1796E" w:rsidSect="0080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1796E"/>
    <w:rsid w:val="0080119D"/>
    <w:rsid w:val="008A0124"/>
    <w:rsid w:val="00F1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19D"/>
  </w:style>
  <w:style w:type="paragraph" w:styleId="Nagwek1">
    <w:name w:val="heading 1"/>
    <w:basedOn w:val="Normalny"/>
    <w:link w:val="Nagwek1Znak"/>
    <w:uiPriority w:val="9"/>
    <w:qFormat/>
    <w:rsid w:val="00F17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79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1</cp:revision>
  <dcterms:created xsi:type="dcterms:W3CDTF">2021-01-14T09:23:00Z</dcterms:created>
  <dcterms:modified xsi:type="dcterms:W3CDTF">2021-01-14T09:38:00Z</dcterms:modified>
</cp:coreProperties>
</file>