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0B561" w14:textId="77777777" w:rsidR="000E4CA8" w:rsidRPr="009F3C7A" w:rsidRDefault="000E4CA8" w:rsidP="000E4CA8">
      <w:pPr>
        <w:spacing w:line="276" w:lineRule="auto"/>
        <w:contextualSpacing/>
        <w:jc w:val="both"/>
        <w:rPr>
          <w:rFonts w:asciiTheme="minorHAnsi" w:eastAsia="Calibri" w:hAnsiTheme="minorHAnsi" w:cstheme="minorHAnsi"/>
          <w:b/>
          <w:sz w:val="24"/>
          <w:szCs w:val="24"/>
        </w:rPr>
      </w:pPr>
    </w:p>
    <w:p w14:paraId="421DCFF3" w14:textId="77777777" w:rsidR="00EA4529" w:rsidRPr="009F3C7A" w:rsidRDefault="00EA4529" w:rsidP="00EA4529">
      <w:pPr>
        <w:spacing w:line="276" w:lineRule="auto"/>
        <w:ind w:left="4956" w:firstLine="708"/>
        <w:contextualSpacing/>
        <w:jc w:val="both"/>
        <w:rPr>
          <w:rFonts w:asciiTheme="minorHAnsi" w:eastAsia="Calibri" w:hAnsiTheme="minorHAnsi" w:cstheme="minorHAnsi"/>
          <w:b/>
          <w:sz w:val="24"/>
          <w:szCs w:val="24"/>
        </w:rPr>
      </w:pPr>
    </w:p>
    <w:p w14:paraId="31AB18FD" w14:textId="3829CB24" w:rsidR="000E4CA8" w:rsidRPr="009F3C7A" w:rsidRDefault="00EA4529" w:rsidP="00EA4529">
      <w:pPr>
        <w:spacing w:line="276" w:lineRule="auto"/>
        <w:ind w:left="5664"/>
        <w:contextualSpacing/>
        <w:jc w:val="both"/>
        <w:rPr>
          <w:rFonts w:asciiTheme="minorHAnsi" w:eastAsia="Calibri" w:hAnsiTheme="minorHAnsi" w:cstheme="minorHAnsi"/>
          <w:b/>
          <w:sz w:val="24"/>
          <w:szCs w:val="24"/>
        </w:rPr>
      </w:pPr>
      <w:r w:rsidRPr="009F3C7A">
        <w:rPr>
          <w:rFonts w:asciiTheme="minorHAnsi" w:eastAsia="Calibri" w:hAnsiTheme="minorHAnsi" w:cstheme="minorHAnsi"/>
          <w:b/>
          <w:sz w:val="24"/>
          <w:szCs w:val="24"/>
        </w:rPr>
        <w:t xml:space="preserve">Skarżysko – Kamienna, </w:t>
      </w:r>
      <w:r w:rsidR="00822CA7">
        <w:rPr>
          <w:rFonts w:asciiTheme="minorHAnsi" w:eastAsia="Calibri" w:hAnsiTheme="minorHAnsi" w:cstheme="minorHAnsi"/>
          <w:b/>
          <w:sz w:val="24"/>
          <w:szCs w:val="24"/>
        </w:rPr>
        <w:t>10</w:t>
      </w:r>
      <w:r w:rsidRPr="009F3C7A">
        <w:rPr>
          <w:rFonts w:asciiTheme="minorHAnsi" w:eastAsia="Calibri" w:hAnsiTheme="minorHAnsi" w:cstheme="minorHAnsi"/>
          <w:b/>
          <w:sz w:val="24"/>
          <w:szCs w:val="24"/>
        </w:rPr>
        <w:t>.07.2020</w:t>
      </w:r>
    </w:p>
    <w:p w14:paraId="0BEA7815" w14:textId="77777777" w:rsidR="000E4CA8" w:rsidRPr="009F3C7A" w:rsidRDefault="000E4CA8" w:rsidP="0070641F">
      <w:pPr>
        <w:spacing w:line="276" w:lineRule="auto"/>
        <w:contextualSpacing/>
        <w:jc w:val="center"/>
        <w:rPr>
          <w:rFonts w:asciiTheme="minorHAnsi" w:eastAsia="Calibri" w:hAnsiTheme="minorHAnsi" w:cstheme="minorHAnsi"/>
          <w:b/>
          <w:sz w:val="24"/>
          <w:szCs w:val="24"/>
        </w:rPr>
      </w:pPr>
    </w:p>
    <w:p w14:paraId="3D0D6CC2" w14:textId="77777777" w:rsidR="000E4CA8" w:rsidRPr="009F3C7A" w:rsidRDefault="000E4CA8" w:rsidP="0070641F">
      <w:pPr>
        <w:spacing w:line="276" w:lineRule="auto"/>
        <w:contextualSpacing/>
        <w:jc w:val="center"/>
        <w:rPr>
          <w:rFonts w:asciiTheme="minorHAnsi" w:eastAsia="Calibri" w:hAnsiTheme="minorHAnsi" w:cstheme="minorHAnsi"/>
          <w:b/>
          <w:sz w:val="24"/>
          <w:szCs w:val="24"/>
        </w:rPr>
      </w:pPr>
      <w:r w:rsidRPr="009F3C7A">
        <w:rPr>
          <w:rFonts w:asciiTheme="minorHAnsi" w:eastAsia="Calibri" w:hAnsiTheme="minorHAnsi" w:cstheme="minorHAnsi"/>
          <w:b/>
          <w:sz w:val="24"/>
          <w:szCs w:val="24"/>
        </w:rPr>
        <w:t>WYJAŚNIENIE TREŚCI SPECYFIKACJI ISTOTNYCH WARUNKÓW ZAMÓWIENIA ORAZ MODYFIKACJA TREŚCI SIWZ</w:t>
      </w:r>
    </w:p>
    <w:p w14:paraId="471231FB" w14:textId="77777777" w:rsidR="000E4CA8" w:rsidRPr="009F3C7A" w:rsidRDefault="000E4CA8" w:rsidP="000E4CA8">
      <w:pPr>
        <w:spacing w:line="276" w:lineRule="auto"/>
        <w:ind w:left="851" w:hanging="851"/>
        <w:jc w:val="both"/>
        <w:rPr>
          <w:rFonts w:asciiTheme="minorHAnsi" w:eastAsia="Calibri" w:hAnsiTheme="minorHAnsi" w:cstheme="minorHAnsi"/>
          <w:sz w:val="24"/>
          <w:szCs w:val="24"/>
        </w:rPr>
      </w:pPr>
    </w:p>
    <w:p w14:paraId="20144C6B" w14:textId="77777777" w:rsidR="000E4CA8" w:rsidRPr="009F3C7A" w:rsidRDefault="000E4CA8" w:rsidP="000E4CA8">
      <w:pPr>
        <w:spacing w:line="276" w:lineRule="auto"/>
        <w:ind w:left="851" w:hanging="851"/>
        <w:jc w:val="both"/>
        <w:rPr>
          <w:rFonts w:asciiTheme="minorHAnsi" w:eastAsia="Calibri" w:hAnsiTheme="minorHAnsi" w:cstheme="minorHAnsi"/>
          <w:sz w:val="24"/>
          <w:szCs w:val="24"/>
        </w:rPr>
      </w:pPr>
    </w:p>
    <w:p w14:paraId="45C45D5E" w14:textId="77777777" w:rsidR="000E4CA8" w:rsidRPr="009F3C7A" w:rsidRDefault="000E4CA8" w:rsidP="000E4CA8">
      <w:pPr>
        <w:spacing w:line="276" w:lineRule="auto"/>
        <w:ind w:left="851" w:hanging="851"/>
        <w:jc w:val="both"/>
        <w:rPr>
          <w:rFonts w:asciiTheme="minorHAnsi" w:eastAsia="Calibri" w:hAnsiTheme="minorHAnsi" w:cstheme="minorHAnsi"/>
          <w:b/>
          <w:sz w:val="24"/>
          <w:szCs w:val="24"/>
        </w:rPr>
      </w:pPr>
      <w:r w:rsidRPr="009F3C7A">
        <w:rPr>
          <w:rFonts w:asciiTheme="minorHAnsi" w:eastAsia="Calibri" w:hAnsiTheme="minorHAnsi" w:cstheme="minorHAnsi"/>
          <w:sz w:val="24"/>
          <w:szCs w:val="24"/>
        </w:rPr>
        <w:t>dotyczy:</w:t>
      </w:r>
      <w:r w:rsidRPr="009F3C7A">
        <w:rPr>
          <w:rFonts w:asciiTheme="minorHAnsi" w:eastAsia="Calibri" w:hAnsiTheme="minorHAnsi" w:cstheme="minorHAnsi"/>
          <w:sz w:val="24"/>
          <w:szCs w:val="24"/>
        </w:rPr>
        <w:tab/>
        <w:t xml:space="preserve">postępowania o udzielnie zamówienia publicznego powadzonego w trybie przetargu nieograniczonego </w:t>
      </w:r>
      <w:proofErr w:type="spellStart"/>
      <w:r w:rsidRPr="009F3C7A">
        <w:rPr>
          <w:rFonts w:asciiTheme="minorHAnsi" w:eastAsia="Calibri" w:hAnsiTheme="minorHAnsi" w:cstheme="minorHAnsi"/>
          <w:sz w:val="24"/>
          <w:szCs w:val="24"/>
        </w:rPr>
        <w:t>pn</w:t>
      </w:r>
      <w:proofErr w:type="spellEnd"/>
      <w:r w:rsidRPr="009F3C7A">
        <w:rPr>
          <w:rFonts w:asciiTheme="minorHAnsi" w:eastAsia="Calibri" w:hAnsiTheme="minorHAnsi" w:cstheme="minorHAnsi"/>
          <w:sz w:val="24"/>
          <w:szCs w:val="24"/>
        </w:rPr>
        <w:t xml:space="preserve"> </w:t>
      </w:r>
      <w:r w:rsidRPr="009F3C7A">
        <w:rPr>
          <w:rFonts w:asciiTheme="minorHAnsi" w:eastAsia="Calibri" w:hAnsiTheme="minorHAnsi" w:cstheme="minorHAnsi"/>
          <w:b/>
          <w:sz w:val="24"/>
          <w:szCs w:val="24"/>
        </w:rPr>
        <w:t>„</w:t>
      </w:r>
      <w:r w:rsidRPr="009F3C7A">
        <w:rPr>
          <w:rFonts w:asciiTheme="minorHAnsi" w:hAnsiTheme="minorHAnsi" w:cstheme="minorHAnsi"/>
          <w:b/>
          <w:sz w:val="24"/>
          <w:szCs w:val="24"/>
          <w:u w:val="single"/>
        </w:rPr>
        <w:t>Modernizacja oświetlenia ulicznego w Skarżysku - Kamiennej</w:t>
      </w:r>
      <w:r w:rsidRPr="009F3C7A">
        <w:rPr>
          <w:rFonts w:asciiTheme="minorHAnsi" w:eastAsia="Calibri" w:hAnsiTheme="minorHAnsi" w:cstheme="minorHAnsi"/>
          <w:b/>
          <w:sz w:val="24"/>
          <w:szCs w:val="24"/>
        </w:rPr>
        <w:t xml:space="preserve">” – </w:t>
      </w:r>
      <w:r w:rsidRPr="009F3C7A">
        <w:rPr>
          <w:rFonts w:asciiTheme="minorHAnsi" w:eastAsia="Calibri" w:hAnsiTheme="minorHAnsi" w:cstheme="minorHAnsi"/>
          <w:sz w:val="24"/>
          <w:szCs w:val="24"/>
        </w:rPr>
        <w:t>nr postępowania ZP.271.17.2020</w:t>
      </w:r>
    </w:p>
    <w:p w14:paraId="193EB757" w14:textId="77777777" w:rsidR="000E4CA8" w:rsidRPr="009F3C7A" w:rsidRDefault="000E4CA8" w:rsidP="000E4CA8">
      <w:pPr>
        <w:spacing w:line="276" w:lineRule="auto"/>
        <w:ind w:left="851" w:hanging="851"/>
        <w:jc w:val="both"/>
        <w:rPr>
          <w:rFonts w:asciiTheme="minorHAnsi" w:eastAsia="Calibri" w:hAnsiTheme="minorHAnsi" w:cstheme="minorHAnsi"/>
          <w:sz w:val="24"/>
          <w:szCs w:val="24"/>
        </w:rPr>
      </w:pPr>
    </w:p>
    <w:p w14:paraId="160C566E" w14:textId="77777777" w:rsidR="000E4CA8" w:rsidRPr="009F3C7A" w:rsidRDefault="000E4CA8" w:rsidP="000E4CA8">
      <w:pPr>
        <w:tabs>
          <w:tab w:val="left" w:pos="0"/>
        </w:tabs>
        <w:overflowPunct w:val="0"/>
        <w:autoSpaceDE w:val="0"/>
        <w:autoSpaceDN w:val="0"/>
        <w:adjustRightInd w:val="0"/>
        <w:spacing w:line="276" w:lineRule="auto"/>
        <w:jc w:val="both"/>
        <w:textAlignment w:val="baseline"/>
        <w:rPr>
          <w:rFonts w:asciiTheme="minorHAnsi" w:eastAsia="Calibri" w:hAnsiTheme="minorHAnsi" w:cstheme="minorHAnsi"/>
          <w:sz w:val="24"/>
          <w:szCs w:val="24"/>
        </w:rPr>
      </w:pPr>
    </w:p>
    <w:p w14:paraId="725C7AEC" w14:textId="77777777" w:rsidR="000E4CA8" w:rsidRPr="009F3C7A" w:rsidRDefault="000E4CA8" w:rsidP="000E4CA8">
      <w:pPr>
        <w:tabs>
          <w:tab w:val="left" w:pos="0"/>
        </w:tabs>
        <w:overflowPunct w:val="0"/>
        <w:autoSpaceDE w:val="0"/>
        <w:autoSpaceDN w:val="0"/>
        <w:adjustRightInd w:val="0"/>
        <w:spacing w:line="276" w:lineRule="auto"/>
        <w:jc w:val="both"/>
        <w:textAlignment w:val="baseline"/>
        <w:rPr>
          <w:rFonts w:asciiTheme="minorHAnsi" w:eastAsia="Calibri" w:hAnsiTheme="minorHAnsi" w:cstheme="minorHAnsi"/>
          <w:sz w:val="24"/>
          <w:szCs w:val="24"/>
        </w:rPr>
      </w:pPr>
    </w:p>
    <w:p w14:paraId="60E49C14" w14:textId="5ABB5EE6" w:rsidR="000E4CA8" w:rsidRPr="009F3C7A" w:rsidRDefault="000E4CA8" w:rsidP="000E4CA8">
      <w:pPr>
        <w:spacing w:line="276" w:lineRule="auto"/>
        <w:ind w:firstLine="708"/>
        <w:jc w:val="both"/>
        <w:rPr>
          <w:rFonts w:asciiTheme="minorHAnsi" w:hAnsiTheme="minorHAnsi" w:cstheme="minorHAnsi"/>
          <w:sz w:val="24"/>
          <w:szCs w:val="24"/>
        </w:rPr>
      </w:pPr>
      <w:r w:rsidRPr="009F3C7A">
        <w:rPr>
          <w:rFonts w:asciiTheme="minorHAnsi" w:hAnsiTheme="minorHAnsi" w:cstheme="minorHAnsi"/>
          <w:sz w:val="24"/>
          <w:szCs w:val="24"/>
        </w:rPr>
        <w:t>Na podstawie art. 38 ust. 2 i 4 ustawy Prawo zamówień Publicznych (tekst jednolity: Dz. U. z 2018 r., poz. 1986 ze zm.), Zamawiający udziela odpowiedzi na zadane pytania:</w:t>
      </w:r>
    </w:p>
    <w:p w14:paraId="1975F957" w14:textId="77777777" w:rsidR="000E4CA8" w:rsidRPr="009F3C7A" w:rsidRDefault="000E4CA8" w:rsidP="000E4CA8">
      <w:pPr>
        <w:spacing w:line="276" w:lineRule="auto"/>
        <w:jc w:val="both"/>
        <w:rPr>
          <w:rFonts w:asciiTheme="minorHAnsi" w:hAnsiTheme="minorHAnsi" w:cstheme="minorHAnsi"/>
          <w:sz w:val="24"/>
          <w:szCs w:val="24"/>
        </w:rPr>
      </w:pPr>
    </w:p>
    <w:p w14:paraId="2DA2D007" w14:textId="77777777" w:rsidR="00822CA7" w:rsidRPr="00CB467B" w:rsidRDefault="00822CA7" w:rsidP="00822CA7">
      <w:pPr>
        <w:spacing w:line="276" w:lineRule="auto"/>
        <w:jc w:val="both"/>
        <w:rPr>
          <w:rFonts w:asciiTheme="minorHAnsi" w:hAnsiTheme="minorHAnsi" w:cstheme="minorHAnsi"/>
          <w:color w:val="000000" w:themeColor="text1"/>
          <w:sz w:val="24"/>
          <w:szCs w:val="24"/>
        </w:rPr>
      </w:pPr>
    </w:p>
    <w:p w14:paraId="5A135842"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b/>
          <w:color w:val="000000" w:themeColor="text1"/>
        </w:rPr>
        <w:t xml:space="preserve">Pytanie nr 1. </w:t>
      </w:r>
      <w:r w:rsidRPr="00CB467B">
        <w:rPr>
          <w:rFonts w:asciiTheme="minorHAnsi" w:hAnsiTheme="minorHAnsi" w:cstheme="minorHAnsi"/>
          <w:color w:val="000000" w:themeColor="text1"/>
        </w:rPr>
        <w:t>W SIWZ , w tabeli 13.1 Zamawiający określa jakie dokumenty należy złożyć wraz z ofertą. Kolejno w punkcie 22.11 dokładnie w tabeli punkt 3. Kryterium „Skuteczność Świetlna” Zamawiający wspomina o załączniku nr 9 – Tabeli średniej skuteczności świetlnej. Wnioskujemy o doprecyzowanie, czy załącznik ten należy złożyć wraz z ofertą ?</w:t>
      </w:r>
    </w:p>
    <w:p w14:paraId="332DD343"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color w:val="000000" w:themeColor="text1"/>
        </w:rPr>
        <w:t>Odp. 1: Zamawiający wyjaśnia. Należy złożyć załącznik nr 9 wraz z ofertą.</w:t>
      </w:r>
    </w:p>
    <w:p w14:paraId="000E91C7"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b/>
          <w:color w:val="000000" w:themeColor="text1"/>
        </w:rPr>
        <w:t>Pytanie nr 2:.</w:t>
      </w:r>
      <w:r w:rsidRPr="00CB467B">
        <w:rPr>
          <w:rFonts w:asciiTheme="minorHAnsi" w:hAnsiTheme="minorHAnsi" w:cstheme="minorHAnsi"/>
          <w:color w:val="000000" w:themeColor="text1"/>
        </w:rPr>
        <w:t xml:space="preserve"> W szczegółowym opisie Przedmiotu Zamówienia w rozdziale V System sterowania Zamawiający wymaga Wymagane jest zaprezentowanie działania systemu w co najmniej 3 lokalizacjach, każda lokalizacja ma obejmować co najmniej 1000 sterowników opraw.</w:t>
      </w:r>
    </w:p>
    <w:p w14:paraId="49FB2A00"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color w:val="000000" w:themeColor="text1"/>
        </w:rPr>
        <w:tab/>
        <w:t>Ze względu na warunki znajdujące się w umowach,  w większości przypadków po oddaniu inwestycji dostęp do instalacji posiada jedynie Zamawiający. Nawet jeżeli jako producent posiadamy wgląd w niektóre inwestycje to pokaz wszystkich funkcjonalności jest niemożliwy (np. włączanie, wyłączanie, ściemnianie opraw) ze względów bezpieczeństwa. W związku z powyższym wnosimy o zmianę zapisu na " Wymagane jest zaprezentowanie systemu na istniejącej instalacji  oraz referencje z przynajmniej 3 zrealizowanych inwestycji"</w:t>
      </w:r>
    </w:p>
    <w:p w14:paraId="4387305F"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color w:val="000000" w:themeColor="text1"/>
        </w:rPr>
        <w:t xml:space="preserve">Odp. 2. Zamawiający wymaga prezentacji systemu o parametrach podanych w załączniku nr 7 Szczegółowy opis przedmiotu zamówienia. Jednakże zamawiający zdaje sobie sprawę, ze nie będzie można uruchomić niektórych funkcji ze względów formalnych. Natomiast zamawiający chce mieć pewność, ze system, który oferent zaproponuje jest już zainstalowany przynajmniej w 3 lokalizacjach a każda ma obejmować co najmniej 1000 sterowników a jego funkcje się pokrywają z  Szczegółowym opisem przedmiotu zamówienia. Zamawiający na etapie weryfikacji nie będzie sprawdzał czy dana funkcja w systemie działa tylko czy jest ona w systemie. Weryfikacja wszystkich funkcji będzie po wyborze najkorzystniejszej oferty. </w:t>
      </w:r>
    </w:p>
    <w:p w14:paraId="345782FB"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b/>
          <w:color w:val="000000" w:themeColor="text1"/>
        </w:rPr>
        <w:lastRenderedPageBreak/>
        <w:t>Pytanie nr 3:.</w:t>
      </w:r>
      <w:r w:rsidRPr="00CB467B">
        <w:rPr>
          <w:rFonts w:asciiTheme="minorHAnsi" w:hAnsiTheme="minorHAnsi" w:cstheme="minorHAnsi"/>
          <w:color w:val="000000" w:themeColor="text1"/>
        </w:rPr>
        <w:t xml:space="preserve"> W szczegółowym opisie Przedmiotu Zamówienia w rozdziale V System sterowania, wymagania software, Zamawiający wymaga umożliwienia kontroli nad kontrolerami (sterownikami) oświetlenia ulicznego innego dostawcy.</w:t>
      </w:r>
    </w:p>
    <w:p w14:paraId="1C48A230"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color w:val="000000" w:themeColor="text1"/>
        </w:rPr>
        <w:tab/>
        <w:t>Czy zamawiający przez zapis " Umożliwienie kontroli nad kontrolerami (sterownikami) oświetlenia ulicznego innego dostawcy." rozumie możliwość sterowania sterownikami innego producenta w zakresie i po otrzymaniu od Zamawiającego pełniej dokumentacji API .</w:t>
      </w:r>
    </w:p>
    <w:p w14:paraId="2982DE76"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color w:val="000000" w:themeColor="text1"/>
        </w:rPr>
        <w:t>Odp. 3. Zamawiający wyjaśnia: Umożliwienie kontroli nad kontrolerami (sterownikami) oświetlenia innego producenta/dostawcy będzie możliwe tylko i wyłącznie po otrzymaniu pełnej dokumentacji API od innego producenta. Zamawiający chce i wymaga by zaproponowany przez wykonawców system miał możliwość pracy z innymi systemami i ich sterownikami (była nadrzędnym integratorem).</w:t>
      </w:r>
    </w:p>
    <w:p w14:paraId="1C9D123C"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b/>
          <w:color w:val="000000" w:themeColor="text1"/>
        </w:rPr>
        <w:t>Pytanie nr 4.:</w:t>
      </w:r>
      <w:r w:rsidRPr="00CB467B">
        <w:rPr>
          <w:rFonts w:asciiTheme="minorHAnsi" w:hAnsiTheme="minorHAnsi" w:cstheme="minorHAnsi"/>
          <w:color w:val="000000" w:themeColor="text1"/>
        </w:rPr>
        <w:t xml:space="preserve"> W szczegółowym opisie Przedmiotu Zamówienia w rozdziale V System sterowania, tabela punkt 5.: Zamawiający wymaga, aby sterowniki opraw były uniwersalne sterujące zarówno sygnałem analogowym 0-10V 1-10 V jak i cyfrowym DALI. Zakres sterowania 0%-100% z krokiem 1%</w:t>
      </w:r>
    </w:p>
    <w:p w14:paraId="50D15892"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color w:val="000000" w:themeColor="text1"/>
        </w:rPr>
        <w:tab/>
        <w:t>Sterowanie analogowe 1-10V, 0-10V występujące w większości wiodących producentów zasilaczy nie umożliwia sterowania w zakresie 0-100% z krokiem 1%. Wnosimy o zmianę zapisu na " Sterowniki opraw uniwersalne sterujące zarówno sygnałem analogowym 0-10V 1-10 V LUB cyfrowym DALI. Zakres sterowania 0%-100% z krokiem 1%"</w:t>
      </w:r>
    </w:p>
    <w:p w14:paraId="0A3FAB8A"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color w:val="000000" w:themeColor="text1"/>
        </w:rPr>
        <w:t>Odp. 4. Zamawiający zmienia treść zapisu o nowym brzmieniu: Zamawiający wymaga aby sterowniki do opraw były uniwersalne i sterowane zarówno sygnałem analogowym 0-10V lub 1-10V lub cyfrowym DALI. W przypadku sygnałów analogowych 0-10V zakres 0-100%, w przypadku 1-10V zakres 10-100%, w przypadku DALI 0-100% z krokiem co 1%.</w:t>
      </w:r>
    </w:p>
    <w:p w14:paraId="47A48015"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b/>
          <w:color w:val="000000" w:themeColor="text1"/>
        </w:rPr>
        <w:t>Pytanie nr 5.:</w:t>
      </w:r>
      <w:r w:rsidRPr="00CB467B">
        <w:rPr>
          <w:rFonts w:asciiTheme="minorHAnsi" w:hAnsiTheme="minorHAnsi" w:cstheme="minorHAnsi"/>
          <w:color w:val="000000" w:themeColor="text1"/>
        </w:rPr>
        <w:t xml:space="preserve"> W szczegółowym opisie Przedmiotu Zamówienia w rozdziale V System sterowania, tabela punkt 11.: Zamawiający wymaga, aby SYSTEM rejestrował  dane z opraw z całej historii pracy systemu.</w:t>
      </w:r>
    </w:p>
    <w:p w14:paraId="0CD29341"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color w:val="000000" w:themeColor="text1"/>
        </w:rPr>
        <w:tab/>
        <w:t>Rejestrowanie danych realizowane jest przez cały czas działania systemu ale ich przetrzymywanie na serwerze w chmurze zawsze wiąże się z dodatkowymi kosztami, które muszą być uwzględnione w ofercie. Proszę o wskazanie okresu z jakiego dane mają być dostępne dla użytkownika z poziomu platformy.</w:t>
      </w:r>
    </w:p>
    <w:p w14:paraId="0567CE21"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color w:val="000000" w:themeColor="text1"/>
        </w:rPr>
        <w:t xml:space="preserve">Odp. 5. Zamawiający wyjaśnia. Wszelkie koszty związane z systemem sterownia ponosi wykonawca przez okres 10 lat gwarancji liczonych od dnia podpisanego protokołu odbioru końcowego przez Zamawiającego. </w:t>
      </w:r>
    </w:p>
    <w:p w14:paraId="7A5B6D39"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b/>
          <w:color w:val="000000" w:themeColor="text1"/>
        </w:rPr>
        <w:t>Pytanie nr 6.:</w:t>
      </w:r>
      <w:r w:rsidRPr="00CB467B">
        <w:rPr>
          <w:rFonts w:asciiTheme="minorHAnsi" w:hAnsiTheme="minorHAnsi" w:cstheme="minorHAnsi"/>
          <w:color w:val="000000" w:themeColor="text1"/>
        </w:rPr>
        <w:t xml:space="preserve"> W szczegółowym opisie Przedmiotu Zamówienia w rozdziale V System sterowania, wymagania software, punkt 10, Zamawiający wymaga darmowej licencji na użytkowanie programu bez limitu czasowego .</w:t>
      </w:r>
    </w:p>
    <w:p w14:paraId="207A2E7A"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color w:val="000000" w:themeColor="text1"/>
        </w:rPr>
        <w:tab/>
        <w:t>O ile licencja na program/system/platformę może być bez limitu czasowego, o tyle do poprawnego działania i pełnej funkcjonalności  niezbędna jest komunikacja chmura-oprawy (np. poprzez GSM) oraz dostęp do powierzchni dyskowych na serwerze. Powyższe usługi wiążą się z okresowymi opłatami. Na jaki okres dostęp do tych usług i jednocześnie do pełnej funkcjonalności systemu, ma zostać skalkulowana oferta?</w:t>
      </w:r>
    </w:p>
    <w:p w14:paraId="0A55C116"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color w:val="000000" w:themeColor="text1"/>
        </w:rPr>
        <w:lastRenderedPageBreak/>
        <w:t>Odp. 6. Zamawiający wyjaśnia. Wszystkie koszty związane z prawidłowym działaniem sytemu spoczywają na wykonawcy przez okres 10 lat liczonych od dnia podpisanego protokołu odbioru końcowego przez Zamawiającego.</w:t>
      </w:r>
    </w:p>
    <w:p w14:paraId="16DD1667" w14:textId="77777777" w:rsidR="00822CA7" w:rsidRPr="00CB467B" w:rsidRDefault="00822CA7" w:rsidP="00822CA7">
      <w:pPr>
        <w:pStyle w:val="NormalnyWeb"/>
        <w:jc w:val="both"/>
        <w:rPr>
          <w:rFonts w:asciiTheme="minorHAnsi" w:hAnsiTheme="minorHAnsi" w:cstheme="minorHAnsi"/>
          <w:color w:val="000000" w:themeColor="text1"/>
        </w:rPr>
      </w:pPr>
      <w:r w:rsidRPr="00CB467B">
        <w:rPr>
          <w:rFonts w:asciiTheme="minorHAnsi" w:hAnsiTheme="minorHAnsi" w:cstheme="minorHAnsi"/>
          <w:b/>
          <w:color w:val="000000" w:themeColor="text1"/>
        </w:rPr>
        <w:t xml:space="preserve">Pytanie nr 7.: </w:t>
      </w:r>
      <w:r w:rsidRPr="00CB467B">
        <w:rPr>
          <w:rFonts w:asciiTheme="minorHAnsi" w:hAnsiTheme="minorHAnsi" w:cstheme="minorHAnsi"/>
          <w:color w:val="000000" w:themeColor="text1"/>
        </w:rPr>
        <w:t>W załączonych przez Zamawiającego dokumentach nie ma możliwości skorelowania obliczeń fotometrycznych z tabelą inwentaryzacyjną. Np. ulica 1-go Maja pojawia się w obliczeniach raz, a w Inwentaryzacji i tabeli doboru opraw osiem razy, a ulica 3-go Maja pojawia się w obliczeniach dwa razy, a w tabeli 8 razy. Kolejność sytuacji w obliczeniach nie odpowiada też kolejności ulic w tabeli. Proszę o jasną korelację obliczeń z tabelą np. poprzez wspólny numer sytuacji, który będzie się pojawiał i w obliczeniach i w tabeli ?</w:t>
      </w:r>
    </w:p>
    <w:p w14:paraId="3AB123BE" w14:textId="77777777" w:rsidR="00822CA7" w:rsidRPr="00CB467B" w:rsidRDefault="00822CA7" w:rsidP="00822CA7">
      <w:pPr>
        <w:pStyle w:val="NormalnyWeb"/>
        <w:jc w:val="both"/>
        <w:rPr>
          <w:rFonts w:asciiTheme="minorHAnsi" w:hAnsiTheme="minorHAnsi" w:cstheme="minorHAnsi"/>
          <w:color w:val="000000" w:themeColor="text1"/>
        </w:rPr>
      </w:pPr>
      <w:proofErr w:type="spellStart"/>
      <w:r w:rsidRPr="00CB467B">
        <w:rPr>
          <w:rFonts w:asciiTheme="minorHAnsi" w:hAnsiTheme="minorHAnsi" w:cstheme="minorHAnsi"/>
          <w:color w:val="000000" w:themeColor="text1"/>
        </w:rPr>
        <w:t>Odp</w:t>
      </w:r>
      <w:proofErr w:type="spellEnd"/>
      <w:r w:rsidRPr="00CB467B">
        <w:rPr>
          <w:rFonts w:asciiTheme="minorHAnsi" w:hAnsiTheme="minorHAnsi" w:cstheme="minorHAnsi"/>
          <w:color w:val="000000" w:themeColor="text1"/>
        </w:rPr>
        <w:t xml:space="preserve"> 7 Do wykonawcy należy poprawny dobór opraw, spełniających wymagania Zamawiającego opisane w SIWZ i SZOPZ. Do wykonawcy należy weryfikacja zakresu rzeczowego opisanego w dokumentacji przetargowej ze stanem faktycznym. Zamawiający nie dysponuje pełną inwentaryzacją całej infrastruktury oświetleniowej. Wykonawca zgodnie z SIWZ ma przygotować projekt techniczny i uzgodnić go z zakładem energetycznym.</w:t>
      </w:r>
    </w:p>
    <w:p w14:paraId="38B4FDF3" w14:textId="77777777" w:rsidR="00822CA7" w:rsidRPr="00CB467B" w:rsidRDefault="00822CA7" w:rsidP="00822CA7">
      <w:pPr>
        <w:spacing w:line="276" w:lineRule="auto"/>
        <w:jc w:val="right"/>
        <w:rPr>
          <w:rFonts w:asciiTheme="minorHAnsi" w:hAnsiTheme="minorHAnsi" w:cstheme="minorHAnsi"/>
          <w:color w:val="000000" w:themeColor="text1"/>
          <w:sz w:val="24"/>
          <w:szCs w:val="24"/>
        </w:rPr>
      </w:pPr>
      <w:r w:rsidRPr="00CB467B">
        <w:rPr>
          <w:rFonts w:asciiTheme="minorHAnsi" w:hAnsiTheme="minorHAnsi" w:cstheme="minorHAnsi"/>
          <w:b/>
          <w:color w:val="000000" w:themeColor="text1"/>
          <w:sz w:val="24"/>
          <w:szCs w:val="24"/>
        </w:rPr>
        <w:t xml:space="preserve">                                                                                       </w:t>
      </w:r>
      <w:r w:rsidRPr="00CB467B">
        <w:rPr>
          <w:rFonts w:asciiTheme="minorHAnsi" w:hAnsiTheme="minorHAnsi" w:cstheme="minorHAnsi"/>
          <w:color w:val="000000" w:themeColor="text1"/>
          <w:sz w:val="24"/>
          <w:szCs w:val="24"/>
        </w:rPr>
        <w:t xml:space="preserve">                </w:t>
      </w:r>
    </w:p>
    <w:p w14:paraId="127F2986" w14:textId="77777777" w:rsidR="00822CA7" w:rsidRPr="00CB467B" w:rsidRDefault="00822CA7" w:rsidP="00822CA7">
      <w:pPr>
        <w:rPr>
          <w:rFonts w:asciiTheme="minorHAnsi" w:hAnsiTheme="minorHAnsi" w:cstheme="minorHAnsi"/>
          <w:color w:val="000000" w:themeColor="text1"/>
        </w:rPr>
      </w:pPr>
    </w:p>
    <w:p w14:paraId="6FB2094D" w14:textId="77777777" w:rsidR="00EC4AA6" w:rsidRPr="009F3C7A" w:rsidRDefault="00EC4AA6" w:rsidP="009F3C7A">
      <w:pPr>
        <w:pStyle w:val="Teksttreci0"/>
        <w:shd w:val="clear" w:color="auto" w:fill="auto"/>
        <w:spacing w:line="276" w:lineRule="auto"/>
        <w:jc w:val="both"/>
        <w:rPr>
          <w:rFonts w:asciiTheme="minorHAnsi" w:hAnsiTheme="minorHAnsi" w:cstheme="minorHAnsi"/>
          <w:sz w:val="24"/>
          <w:szCs w:val="24"/>
        </w:rPr>
      </w:pPr>
    </w:p>
    <w:sectPr w:rsidR="00EC4AA6" w:rsidRPr="009F3C7A" w:rsidSect="000E4CA8">
      <w:pgSz w:w="11907" w:h="16840"/>
      <w:pgMar w:top="1021" w:right="1134" w:bottom="851" w:left="1134" w:header="709" w:footer="709"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E41"/>
    <w:multiLevelType w:val="hybridMultilevel"/>
    <w:tmpl w:val="338A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300431"/>
    <w:multiLevelType w:val="multilevel"/>
    <w:tmpl w:val="DEE6DCE8"/>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3C037D0A"/>
    <w:multiLevelType w:val="hybridMultilevel"/>
    <w:tmpl w:val="85462C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8D223F"/>
    <w:multiLevelType w:val="hybridMultilevel"/>
    <w:tmpl w:val="ED52216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3219E5"/>
    <w:multiLevelType w:val="hybridMultilevel"/>
    <w:tmpl w:val="AE9E7D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492F15"/>
    <w:multiLevelType w:val="hybridMultilevel"/>
    <w:tmpl w:val="AE9E7D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A11C2E"/>
    <w:multiLevelType w:val="hybridMultilevel"/>
    <w:tmpl w:val="69C2A9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C26CA1"/>
    <w:multiLevelType w:val="hybridMultilevel"/>
    <w:tmpl w:val="AE626B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0AC5894"/>
    <w:multiLevelType w:val="hybridMultilevel"/>
    <w:tmpl w:val="66E6DC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B43ACE"/>
    <w:multiLevelType w:val="hybridMultilevel"/>
    <w:tmpl w:val="F2EE27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8"/>
  </w:num>
  <w:num w:numId="5">
    <w:abstractNumId w:val="9"/>
  </w:num>
  <w:num w:numId="6">
    <w:abstractNumId w:val="6"/>
  </w:num>
  <w:num w:numId="7">
    <w:abstractNumId w:val="2"/>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A8"/>
    <w:rsid w:val="0001386F"/>
    <w:rsid w:val="000432AE"/>
    <w:rsid w:val="0007450C"/>
    <w:rsid w:val="000E4CA8"/>
    <w:rsid w:val="00141CB4"/>
    <w:rsid w:val="0015756D"/>
    <w:rsid w:val="00350AC0"/>
    <w:rsid w:val="004D0B3D"/>
    <w:rsid w:val="006C667E"/>
    <w:rsid w:val="006D135A"/>
    <w:rsid w:val="0070641F"/>
    <w:rsid w:val="00784447"/>
    <w:rsid w:val="00822CA7"/>
    <w:rsid w:val="008C70C3"/>
    <w:rsid w:val="00931779"/>
    <w:rsid w:val="009F3C7A"/>
    <w:rsid w:val="00A158C6"/>
    <w:rsid w:val="00A43772"/>
    <w:rsid w:val="00B21CC6"/>
    <w:rsid w:val="00B87246"/>
    <w:rsid w:val="00BE2DE0"/>
    <w:rsid w:val="00D705E9"/>
    <w:rsid w:val="00EA4529"/>
    <w:rsid w:val="00EC4AA6"/>
    <w:rsid w:val="00F04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E536"/>
  <w15:chartTrackingRefBased/>
  <w15:docId w15:val="{56DE8F89-E047-4C2E-9AC8-1A927843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4CA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link w:val="Teksttreci0"/>
    <w:rsid w:val="000E4CA8"/>
    <w:rPr>
      <w:rFonts w:ascii="Arial" w:eastAsia="Arial" w:hAnsi="Arial" w:cs="Arial"/>
      <w:shd w:val="clear" w:color="auto" w:fill="FFFFFF"/>
    </w:rPr>
  </w:style>
  <w:style w:type="paragraph" w:customStyle="1" w:styleId="Teksttreci0">
    <w:name w:val="Tekst treści"/>
    <w:basedOn w:val="Normalny"/>
    <w:link w:val="Teksttreci"/>
    <w:rsid w:val="000E4CA8"/>
    <w:pPr>
      <w:widowControl w:val="0"/>
      <w:shd w:val="clear" w:color="auto" w:fill="FFFFFF"/>
      <w:spacing w:after="20" w:line="372" w:lineRule="auto"/>
    </w:pPr>
    <w:rPr>
      <w:rFonts w:ascii="Arial" w:eastAsia="Arial" w:hAnsi="Arial" w:cs="Arial"/>
      <w:sz w:val="22"/>
      <w:szCs w:val="22"/>
      <w:lang w:eastAsia="en-US"/>
    </w:rPr>
  </w:style>
  <w:style w:type="character" w:styleId="Hipercze">
    <w:name w:val="Hyperlink"/>
    <w:uiPriority w:val="99"/>
    <w:semiHidden/>
    <w:unhideWhenUsed/>
    <w:rsid w:val="000E4CA8"/>
    <w:rPr>
      <w:color w:val="0000FF"/>
      <w:u w:val="single"/>
    </w:rPr>
  </w:style>
  <w:style w:type="character" w:customStyle="1" w:styleId="Nagwek1">
    <w:name w:val="Nagłówek #1_"/>
    <w:link w:val="Nagwek10"/>
    <w:rsid w:val="000E4CA8"/>
    <w:rPr>
      <w:rFonts w:eastAsia="Times New Roman"/>
      <w:b/>
      <w:bCs/>
      <w:u w:val="single"/>
      <w:shd w:val="clear" w:color="auto" w:fill="FFFFFF"/>
    </w:rPr>
  </w:style>
  <w:style w:type="paragraph" w:customStyle="1" w:styleId="Nagwek10">
    <w:name w:val="Nagłówek #1"/>
    <w:basedOn w:val="Normalny"/>
    <w:link w:val="Nagwek1"/>
    <w:rsid w:val="000E4CA8"/>
    <w:pPr>
      <w:widowControl w:val="0"/>
      <w:shd w:val="clear" w:color="auto" w:fill="FFFFFF"/>
      <w:spacing w:after="160" w:line="252" w:lineRule="auto"/>
      <w:jc w:val="both"/>
      <w:outlineLvl w:val="0"/>
    </w:pPr>
    <w:rPr>
      <w:rFonts w:asciiTheme="minorHAnsi" w:hAnsiTheme="minorHAnsi" w:cstheme="minorBidi"/>
      <w:b/>
      <w:bCs/>
      <w:sz w:val="22"/>
      <w:szCs w:val="22"/>
      <w:u w:val="single"/>
      <w:lang w:eastAsia="en-US"/>
    </w:rPr>
  </w:style>
  <w:style w:type="paragraph" w:customStyle="1" w:styleId="western">
    <w:name w:val="western"/>
    <w:basedOn w:val="Normalny"/>
    <w:qFormat/>
    <w:rsid w:val="000E4CA8"/>
    <w:pPr>
      <w:suppressAutoHyphens/>
      <w:spacing w:before="280" w:after="280"/>
    </w:pPr>
    <w:rPr>
      <w:sz w:val="24"/>
      <w:szCs w:val="24"/>
      <w:lang w:eastAsia="zh-CN"/>
    </w:rPr>
  </w:style>
  <w:style w:type="paragraph" w:styleId="Akapitzlist">
    <w:name w:val="List Paragraph"/>
    <w:basedOn w:val="Normalny"/>
    <w:uiPriority w:val="34"/>
    <w:qFormat/>
    <w:rsid w:val="000E4CA8"/>
    <w:pPr>
      <w:spacing w:after="200" w:line="276" w:lineRule="auto"/>
      <w:ind w:left="720"/>
      <w:contextualSpacing/>
    </w:pPr>
    <w:rPr>
      <w:rFonts w:ascii="Calibri" w:hAnsi="Calibri"/>
      <w:sz w:val="22"/>
      <w:szCs w:val="22"/>
    </w:rPr>
  </w:style>
  <w:style w:type="character" w:customStyle="1" w:styleId="size">
    <w:name w:val="size"/>
    <w:rsid w:val="000E4CA8"/>
  </w:style>
  <w:style w:type="paragraph" w:customStyle="1" w:styleId="Default">
    <w:name w:val="Default"/>
    <w:rsid w:val="000E4CA8"/>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dymka">
    <w:name w:val="Balloon Text"/>
    <w:basedOn w:val="Normalny"/>
    <w:link w:val="TekstdymkaZnak"/>
    <w:uiPriority w:val="99"/>
    <w:semiHidden/>
    <w:unhideWhenUsed/>
    <w:rsid w:val="000138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386F"/>
    <w:rPr>
      <w:rFonts w:ascii="Segoe UI" w:eastAsia="Times New Roman" w:hAnsi="Segoe UI" w:cs="Segoe UI"/>
      <w:sz w:val="18"/>
      <w:szCs w:val="18"/>
      <w:lang w:eastAsia="pl-PL"/>
    </w:rPr>
  </w:style>
  <w:style w:type="paragraph" w:customStyle="1" w:styleId="Standard">
    <w:name w:val="Standard"/>
    <w:rsid w:val="00EC4AA6"/>
    <w:pPr>
      <w:suppressAutoHyphens/>
      <w:autoSpaceDN w:val="0"/>
      <w:spacing w:after="200" w:line="276" w:lineRule="auto"/>
      <w:textAlignment w:val="baseline"/>
    </w:pPr>
    <w:rPr>
      <w:rFonts w:ascii="Calibri" w:eastAsia="SimSun" w:hAnsi="Calibri" w:cs="Tahoma"/>
      <w:kern w:val="3"/>
    </w:rPr>
  </w:style>
  <w:style w:type="numbering" w:customStyle="1" w:styleId="WWNum10">
    <w:name w:val="WWNum10"/>
    <w:basedOn w:val="Bezlisty"/>
    <w:rsid w:val="00EC4AA6"/>
    <w:pPr>
      <w:numPr>
        <w:numId w:val="10"/>
      </w:numPr>
    </w:pPr>
  </w:style>
  <w:style w:type="character" w:customStyle="1" w:styleId="Inne">
    <w:name w:val="Inne_"/>
    <w:basedOn w:val="Domylnaczcionkaakapitu"/>
    <w:link w:val="Inne0"/>
    <w:rsid w:val="009F3C7A"/>
    <w:rPr>
      <w:rFonts w:ascii="Arial" w:eastAsia="Arial" w:hAnsi="Arial" w:cs="Arial"/>
      <w:sz w:val="20"/>
      <w:szCs w:val="20"/>
      <w:shd w:val="clear" w:color="auto" w:fill="FFFFFF"/>
    </w:rPr>
  </w:style>
  <w:style w:type="paragraph" w:customStyle="1" w:styleId="Inne0">
    <w:name w:val="Inne"/>
    <w:basedOn w:val="Normalny"/>
    <w:link w:val="Inne"/>
    <w:rsid w:val="009F3C7A"/>
    <w:pPr>
      <w:widowControl w:val="0"/>
      <w:shd w:val="clear" w:color="auto" w:fill="FFFFFF"/>
      <w:spacing w:line="314" w:lineRule="auto"/>
    </w:pPr>
    <w:rPr>
      <w:rFonts w:ascii="Arial" w:eastAsia="Arial" w:hAnsi="Arial" w:cs="Arial"/>
      <w:lang w:eastAsia="en-US"/>
    </w:rPr>
  </w:style>
  <w:style w:type="paragraph" w:styleId="NormalnyWeb">
    <w:name w:val="Normal (Web)"/>
    <w:basedOn w:val="Normalny"/>
    <w:uiPriority w:val="99"/>
    <w:rsid w:val="00822CA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BC2CFF4D67B4458E1F8A9C4C9036CA" ma:contentTypeVersion="11" ma:contentTypeDescription="Utwórz nowy dokument." ma:contentTypeScope="" ma:versionID="bb58fb89cc5a75a328fd1e73fa9e090d">
  <xsd:schema xmlns:xsd="http://www.w3.org/2001/XMLSchema" xmlns:xs="http://www.w3.org/2001/XMLSchema" xmlns:p="http://schemas.microsoft.com/office/2006/metadata/properties" xmlns:ns3="45f8ab5d-40c8-42a8-a27a-8a433f881039" xmlns:ns4="f1495e15-3cdd-4d46-bf81-dde856db454f" targetNamespace="http://schemas.microsoft.com/office/2006/metadata/properties" ma:root="true" ma:fieldsID="17a9b18b2300693cf772a2190eb50572" ns3:_="" ns4:_="">
    <xsd:import namespace="45f8ab5d-40c8-42a8-a27a-8a433f881039"/>
    <xsd:import namespace="f1495e15-3cdd-4d46-bf81-dde856db45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8ab5d-40c8-42a8-a27a-8a433f881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95e15-3cdd-4d46-bf81-dde856db454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4B68C-2938-4654-AD8E-AF22FDF3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8ab5d-40c8-42a8-a27a-8a433f881039"/>
    <ds:schemaRef ds:uri="f1495e15-3cdd-4d46-bf81-dde856db4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51471-19BD-4A64-BFCE-C005E3DAA7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CA7E0-304B-4904-98BE-E642D3304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5772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Pajek</dc:creator>
  <cp:keywords/>
  <dc:description/>
  <cp:lastModifiedBy>Mariusz Marciniak</cp:lastModifiedBy>
  <cp:revision>2</cp:revision>
  <dcterms:created xsi:type="dcterms:W3CDTF">2020-07-09T21:09:00Z</dcterms:created>
  <dcterms:modified xsi:type="dcterms:W3CDTF">2020-07-09T21:09:00Z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0x0101000ABC2CFF4D67B4458E1F8A9C4C9036CA</vt:lpwstr>
  </property>
</Properties>
</file>